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B9B1" w14:textId="1E2E52FA" w:rsidR="00EE32AD" w:rsidRDefault="00EE32AD" w:rsidP="00B977F3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DD3C2DE" wp14:editId="616A9200">
            <wp:simplePos x="0" y="0"/>
            <wp:positionH relativeFrom="column">
              <wp:posOffset>-30480</wp:posOffset>
            </wp:positionH>
            <wp:positionV relativeFrom="paragraph">
              <wp:posOffset>8890</wp:posOffset>
            </wp:positionV>
            <wp:extent cx="3131820" cy="17494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6822F" w14:textId="77777777" w:rsidR="00EE32AD" w:rsidRDefault="00EE32AD" w:rsidP="00B977F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FE809F3" w14:textId="77777777" w:rsidR="00D54FC5" w:rsidRDefault="00D54FC5" w:rsidP="00B977F3">
      <w:pPr>
        <w:rPr>
          <w:rFonts w:cstheme="minorHAnsi"/>
          <w:b/>
          <w:bCs/>
          <w:sz w:val="28"/>
          <w:szCs w:val="28"/>
          <w:u w:val="single"/>
        </w:rPr>
      </w:pPr>
    </w:p>
    <w:p w14:paraId="23978AD9" w14:textId="77777777" w:rsidR="00D54FC5" w:rsidRDefault="00D54FC5" w:rsidP="00B977F3">
      <w:pPr>
        <w:rPr>
          <w:rFonts w:cstheme="minorHAnsi"/>
          <w:b/>
          <w:bCs/>
          <w:sz w:val="28"/>
          <w:szCs w:val="28"/>
          <w:u w:val="single"/>
        </w:rPr>
      </w:pPr>
    </w:p>
    <w:p w14:paraId="3368FD8C" w14:textId="7E1FE76A" w:rsidR="00B977F3" w:rsidRPr="004F6C92" w:rsidRDefault="00D54FC5" w:rsidP="00B977F3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M</w:t>
      </w:r>
      <w:r w:rsidR="00345DCE">
        <w:rPr>
          <w:rFonts w:cstheme="minorHAnsi"/>
          <w:b/>
          <w:bCs/>
          <w:sz w:val="28"/>
          <w:szCs w:val="28"/>
          <w:u w:val="single"/>
        </w:rPr>
        <w:t xml:space="preserve">athematics </w:t>
      </w:r>
      <w:r w:rsidR="00B977F3" w:rsidRPr="004F6C92">
        <w:rPr>
          <w:rFonts w:cstheme="minorHAnsi"/>
          <w:b/>
          <w:bCs/>
          <w:sz w:val="28"/>
          <w:szCs w:val="28"/>
          <w:u w:val="single"/>
        </w:rPr>
        <w:t xml:space="preserve">Curriculum Progression.  </w:t>
      </w:r>
    </w:p>
    <w:p w14:paraId="399E6616" w14:textId="1FAE4FAD" w:rsidR="00B977F3" w:rsidRDefault="00233E95" w:rsidP="00233E95">
      <w:pPr>
        <w:pStyle w:val="NoSpacing"/>
      </w:pPr>
      <w:r>
        <w:t xml:space="preserve">This progression document </w:t>
      </w:r>
      <w:r>
        <w:t xml:space="preserve">identifies the most important conceptual knowledge and understanding that pupils need as they progress from year 1 to year 6. These important concepts are referred to as </w:t>
      </w:r>
      <w:r w:rsidRPr="0087694D">
        <w:rPr>
          <w:b/>
          <w:bCs/>
        </w:rPr>
        <w:t>ready-to-progress criteria</w:t>
      </w:r>
      <w:r>
        <w:t xml:space="preserve"> and provide a coherent, linked framework to support pupils’ mastery of the primary mathematics curriculum</w:t>
      </w:r>
      <w:r>
        <w:t>. This document d</w:t>
      </w:r>
      <w:r>
        <w:t xml:space="preserve">oes not address the whole of the primary curriculum, but only the areas that have been identified as a priority. It is still a statutory requirement that the whole of the curriculum </w:t>
      </w:r>
      <w:proofErr w:type="gramStart"/>
      <w:r>
        <w:t>is</w:t>
      </w:r>
      <w:proofErr w:type="gramEnd"/>
      <w:r>
        <w:t xml:space="preserve"> taught. However, </w:t>
      </w:r>
      <w:r w:rsidR="0087694D">
        <w:t>‘</w:t>
      </w:r>
      <w:r>
        <w:t>by meeting the ready-to-progress criteria</w:t>
      </w:r>
      <w:r w:rsidR="0087694D">
        <w:t>’</w:t>
      </w:r>
      <w:r>
        <w:t xml:space="preserve">, </w:t>
      </w:r>
      <w:r w:rsidR="0087694D">
        <w:t>it is the Department for Education’s belief that ‘</w:t>
      </w:r>
      <w:r>
        <w:t>pupils will be able to more easily access many of the elements of the curriculum that are not covered</w:t>
      </w:r>
      <w:r>
        <w:t xml:space="preserve"> in this </w:t>
      </w:r>
      <w:r w:rsidR="0087694D">
        <w:t>guidance’ (2020, p.5)</w:t>
      </w:r>
      <w:r>
        <w:t>.</w:t>
      </w:r>
    </w:p>
    <w:tbl>
      <w:tblPr>
        <w:tblStyle w:val="TableGrid"/>
        <w:tblW w:w="14536" w:type="dxa"/>
        <w:tblLayout w:type="fixed"/>
        <w:tblLook w:val="0600" w:firstRow="0" w:lastRow="0" w:firstColumn="0" w:lastColumn="0" w:noHBand="1" w:noVBand="1"/>
      </w:tblPr>
      <w:tblGrid>
        <w:gridCol w:w="1838"/>
        <w:gridCol w:w="1358"/>
        <w:gridCol w:w="1418"/>
        <w:gridCol w:w="1701"/>
        <w:gridCol w:w="2044"/>
        <w:gridCol w:w="1701"/>
        <w:gridCol w:w="2208"/>
        <w:gridCol w:w="2268"/>
      </w:tblGrid>
      <w:tr w:rsidR="00CA70DB" w:rsidRPr="004F6C92" w14:paraId="1144AD88" w14:textId="1B4E1445" w:rsidTr="007554BF">
        <w:trPr>
          <w:trHeight w:val="699"/>
        </w:trPr>
        <w:tc>
          <w:tcPr>
            <w:tcW w:w="1838" w:type="dxa"/>
            <w:vAlign w:val="center"/>
          </w:tcPr>
          <w:p w14:paraId="0A37501D" w14:textId="7DE6F36C" w:rsidR="00CA70DB" w:rsidRPr="00330A2E" w:rsidRDefault="00330A2E" w:rsidP="009E3EF0">
            <w:pPr>
              <w:jc w:val="center"/>
              <w:rPr>
                <w:rFonts w:cstheme="minorHAnsi"/>
                <w:b/>
                <w:bCs/>
              </w:rPr>
            </w:pPr>
            <w:r w:rsidRPr="00330A2E">
              <w:rPr>
                <w:rFonts w:cstheme="minorHAnsi"/>
                <w:b/>
                <w:bCs/>
              </w:rPr>
              <w:t>Ready-to-progress criteria</w:t>
            </w:r>
          </w:p>
        </w:tc>
        <w:tc>
          <w:tcPr>
            <w:tcW w:w="1358" w:type="dxa"/>
          </w:tcPr>
          <w:p w14:paraId="460A5BF4" w14:textId="77777777" w:rsidR="00CA70DB" w:rsidRPr="00CA70DB" w:rsidRDefault="00CA70DB" w:rsidP="00CA70DB">
            <w:pPr>
              <w:jc w:val="center"/>
              <w:rPr>
                <w:rFonts w:cstheme="minorHAnsi"/>
                <w:b/>
              </w:rPr>
            </w:pPr>
          </w:p>
          <w:p w14:paraId="329704AF" w14:textId="4791F900" w:rsidR="00CA70DB" w:rsidRPr="00CA70DB" w:rsidRDefault="00CA70DB" w:rsidP="00CA70DB">
            <w:pPr>
              <w:jc w:val="center"/>
              <w:rPr>
                <w:rFonts w:cstheme="minorHAnsi"/>
                <w:b/>
              </w:rPr>
            </w:pPr>
            <w:r w:rsidRPr="00CA70DB">
              <w:rPr>
                <w:rFonts w:cstheme="minorHAnsi"/>
                <w:b/>
              </w:rPr>
              <w:t>EYFS</w:t>
            </w:r>
          </w:p>
        </w:tc>
        <w:tc>
          <w:tcPr>
            <w:tcW w:w="1418" w:type="dxa"/>
          </w:tcPr>
          <w:p w14:paraId="55529431" w14:textId="77777777" w:rsidR="00CA70DB" w:rsidRDefault="00CA70DB" w:rsidP="00CA70DB">
            <w:pPr>
              <w:jc w:val="center"/>
              <w:rPr>
                <w:b/>
              </w:rPr>
            </w:pPr>
          </w:p>
          <w:p w14:paraId="369A54C0" w14:textId="4373FC01" w:rsidR="00CA70DB" w:rsidRPr="00CA70DB" w:rsidRDefault="00CA70DB" w:rsidP="00CA70DB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701" w:type="dxa"/>
          </w:tcPr>
          <w:p w14:paraId="75B711E8" w14:textId="77777777" w:rsidR="00CA70DB" w:rsidRDefault="00CA70DB" w:rsidP="00CA70DB">
            <w:pPr>
              <w:jc w:val="center"/>
              <w:rPr>
                <w:b/>
              </w:rPr>
            </w:pPr>
          </w:p>
          <w:p w14:paraId="5D8C268B" w14:textId="76432C1C" w:rsidR="00CA70DB" w:rsidRPr="00CA70DB" w:rsidRDefault="00CA70DB" w:rsidP="00CA70DB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2044" w:type="dxa"/>
          </w:tcPr>
          <w:p w14:paraId="4264DD0A" w14:textId="77777777" w:rsidR="00CA70DB" w:rsidRDefault="00CA70DB" w:rsidP="00CA70DB">
            <w:pPr>
              <w:jc w:val="center"/>
              <w:rPr>
                <w:b/>
              </w:rPr>
            </w:pPr>
          </w:p>
          <w:p w14:paraId="0AFDC20D" w14:textId="5C820347" w:rsidR="00CA70DB" w:rsidRPr="00CA70DB" w:rsidRDefault="00CA70DB" w:rsidP="00CA70DB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701" w:type="dxa"/>
          </w:tcPr>
          <w:p w14:paraId="6669F3CB" w14:textId="37D1E9A9" w:rsidR="00CA70DB" w:rsidRPr="00CA70DB" w:rsidRDefault="00CA70DB" w:rsidP="00CA70DB">
            <w:pPr>
              <w:jc w:val="center"/>
              <w:rPr>
                <w:b/>
              </w:rPr>
            </w:pPr>
          </w:p>
          <w:p w14:paraId="1D6C5F67" w14:textId="201EE92B" w:rsidR="00CA70DB" w:rsidRPr="00CA70DB" w:rsidRDefault="00CA70DB" w:rsidP="00CA70DB">
            <w:pPr>
              <w:jc w:val="center"/>
              <w:rPr>
                <w:b/>
              </w:rPr>
            </w:pPr>
            <w:r w:rsidRPr="00CA70DB">
              <w:rPr>
                <w:b/>
              </w:rPr>
              <w:t>Year 4</w:t>
            </w:r>
          </w:p>
        </w:tc>
        <w:tc>
          <w:tcPr>
            <w:tcW w:w="2208" w:type="dxa"/>
          </w:tcPr>
          <w:p w14:paraId="29CA12E3" w14:textId="77777777" w:rsidR="00CA70DB" w:rsidRPr="00CA70DB" w:rsidRDefault="00CA70DB" w:rsidP="00CA70DB">
            <w:pPr>
              <w:jc w:val="center"/>
              <w:rPr>
                <w:b/>
              </w:rPr>
            </w:pPr>
          </w:p>
          <w:p w14:paraId="6194BF11" w14:textId="066DCB8A" w:rsidR="00CA70DB" w:rsidRPr="00CA70DB" w:rsidRDefault="00CA70DB" w:rsidP="00CA70DB">
            <w:pPr>
              <w:jc w:val="center"/>
              <w:rPr>
                <w:b/>
              </w:rPr>
            </w:pPr>
            <w:r w:rsidRPr="00CA70DB">
              <w:rPr>
                <w:b/>
              </w:rPr>
              <w:t>Year 5</w:t>
            </w:r>
          </w:p>
        </w:tc>
        <w:tc>
          <w:tcPr>
            <w:tcW w:w="2268" w:type="dxa"/>
          </w:tcPr>
          <w:p w14:paraId="784E0E68" w14:textId="77777777" w:rsidR="00CA70DB" w:rsidRPr="00CA70DB" w:rsidRDefault="00CA70DB" w:rsidP="00CA70DB">
            <w:pPr>
              <w:jc w:val="center"/>
              <w:rPr>
                <w:b/>
              </w:rPr>
            </w:pPr>
          </w:p>
          <w:p w14:paraId="2272E869" w14:textId="4BD769E4" w:rsidR="00CA70DB" w:rsidRPr="00CA70DB" w:rsidRDefault="00CA70DB" w:rsidP="00CA70DB">
            <w:pPr>
              <w:jc w:val="center"/>
              <w:rPr>
                <w:b/>
              </w:rPr>
            </w:pPr>
            <w:r w:rsidRPr="00CA70DB">
              <w:rPr>
                <w:b/>
              </w:rPr>
              <w:t>Year 6</w:t>
            </w:r>
          </w:p>
        </w:tc>
      </w:tr>
      <w:tr w:rsidR="00CA70DB" w:rsidRPr="004F6C92" w14:paraId="1285B12F" w14:textId="2D4AD9F0" w:rsidTr="007554BF">
        <w:trPr>
          <w:trHeight w:val="416"/>
        </w:trPr>
        <w:tc>
          <w:tcPr>
            <w:tcW w:w="1838" w:type="dxa"/>
          </w:tcPr>
          <w:p w14:paraId="03A200D2" w14:textId="77777777" w:rsidR="00CA70DB" w:rsidRDefault="00CA70DB">
            <w:pPr>
              <w:rPr>
                <w:rFonts w:cstheme="minorHAnsi"/>
                <w:b/>
              </w:rPr>
            </w:pPr>
            <w:bookmarkStart w:id="0" w:name="_Hlk77756176"/>
            <w:r w:rsidRPr="004F6C92">
              <w:rPr>
                <w:rFonts w:cstheme="minorHAnsi"/>
                <w:b/>
              </w:rPr>
              <w:t>Implementation</w:t>
            </w:r>
          </w:p>
          <w:p w14:paraId="7A150F0A" w14:textId="77777777" w:rsidR="00CA70DB" w:rsidRDefault="00CA70DB">
            <w:pPr>
              <w:rPr>
                <w:rFonts w:cstheme="minorHAnsi"/>
              </w:rPr>
            </w:pPr>
          </w:p>
          <w:p w14:paraId="04EF0BE3" w14:textId="168519B7" w:rsidR="00CA70DB" w:rsidRDefault="00CA70D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 </w:t>
            </w:r>
          </w:p>
          <w:p w14:paraId="6F0CD09C" w14:textId="6377C0FF" w:rsidR="00CA70DB" w:rsidRPr="004F6C92" w:rsidRDefault="00CA70DB">
            <w:pPr>
              <w:rPr>
                <w:rFonts w:cstheme="minorHAnsi"/>
              </w:rPr>
            </w:pPr>
            <w:r>
              <w:rPr>
                <w:rFonts w:cstheme="minorHAnsi"/>
              </w:rPr>
              <w:t>and Place Value</w:t>
            </w:r>
            <w:r w:rsidRPr="004F6C9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(NPV)</w:t>
            </w:r>
          </w:p>
          <w:p w14:paraId="5DAB6C7B" w14:textId="77777777" w:rsidR="00CA70DB" w:rsidRPr="004F6C92" w:rsidRDefault="00CA70DB">
            <w:pPr>
              <w:rPr>
                <w:rFonts w:cstheme="minorHAnsi"/>
              </w:rPr>
            </w:pPr>
          </w:p>
          <w:p w14:paraId="17DAEE2C" w14:textId="16766926" w:rsidR="00CA70DB" w:rsidRPr="004F6C92" w:rsidRDefault="00CA70DB">
            <w:pPr>
              <w:rPr>
                <w:rFonts w:cstheme="minorHAnsi"/>
              </w:rPr>
            </w:pPr>
          </w:p>
        </w:tc>
        <w:tc>
          <w:tcPr>
            <w:tcW w:w="1358" w:type="dxa"/>
          </w:tcPr>
          <w:p w14:paraId="274950E1" w14:textId="77777777" w:rsidR="00CA70DB" w:rsidRDefault="00330A2E" w:rsidP="00330A2E">
            <w:pPr>
              <w:pStyle w:val="NoSpacing"/>
            </w:pPr>
            <w:proofErr w:type="gramStart"/>
            <w:r>
              <w:t>Pre NPV -1</w:t>
            </w:r>
            <w:proofErr w:type="gramEnd"/>
            <w:r>
              <w:t xml:space="preserve"> </w:t>
            </w:r>
            <w:r w:rsidRPr="00330A2E">
              <w:rPr>
                <w:sz w:val="20"/>
                <w:szCs w:val="20"/>
              </w:rPr>
              <w:t>Begin to develop a sense of the number system by verbally counting forward to and beyond 20, pausing at each multiple of 10.</w:t>
            </w:r>
          </w:p>
          <w:p w14:paraId="2456869A" w14:textId="2E886819" w:rsidR="00330A2E" w:rsidRDefault="00330A2E" w:rsidP="00DF6ED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Pre NPV -2</w:t>
            </w:r>
            <w:proofErr w:type="gramEnd"/>
          </w:p>
          <w:p w14:paraId="420E5FCC" w14:textId="45D09CB7" w:rsidR="00330A2E" w:rsidRPr="00330A2E" w:rsidRDefault="00330A2E" w:rsidP="00330A2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30A2E">
              <w:rPr>
                <w:sz w:val="20"/>
                <w:szCs w:val="20"/>
              </w:rPr>
              <w:t xml:space="preserve">lay games that involve moving along a numbered </w:t>
            </w:r>
            <w:proofErr w:type="gramStart"/>
            <w:r w:rsidRPr="00330A2E">
              <w:rPr>
                <w:sz w:val="20"/>
                <w:szCs w:val="20"/>
              </w:rPr>
              <w:t>track, and</w:t>
            </w:r>
            <w:proofErr w:type="gramEnd"/>
            <w:r w:rsidRPr="00330A2E">
              <w:rPr>
                <w:sz w:val="20"/>
                <w:szCs w:val="20"/>
              </w:rPr>
              <w:t xml:space="preserve"> understand that larger numbers are further along the track.</w:t>
            </w:r>
          </w:p>
          <w:p w14:paraId="74DAFF61" w14:textId="193F16B3" w:rsidR="00330A2E" w:rsidRPr="00330A2E" w:rsidRDefault="00330A2E" w:rsidP="00DF6ED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595E2E" w14:textId="6DB6B4E9" w:rsidR="00CA70DB" w:rsidRPr="00937430" w:rsidRDefault="004C683E" w:rsidP="00ED1415">
            <w:pPr>
              <w:rPr>
                <w:rFonts w:cstheme="minorHAnsi"/>
                <w:sz w:val="20"/>
                <w:szCs w:val="20"/>
              </w:rPr>
            </w:pPr>
            <w:r w:rsidRPr="00937430">
              <w:rPr>
                <w:rFonts w:cstheme="minorHAnsi"/>
                <w:sz w:val="20"/>
                <w:szCs w:val="20"/>
              </w:rPr>
              <w:t>1</w:t>
            </w:r>
            <w:r w:rsidR="00CD710F" w:rsidRPr="00937430">
              <w:rPr>
                <w:rFonts w:cstheme="minorHAnsi"/>
                <w:sz w:val="20"/>
                <w:szCs w:val="20"/>
              </w:rPr>
              <w:t>NPV–1 Count within 100, forwards and backwards, starting with any number.</w:t>
            </w:r>
          </w:p>
          <w:p w14:paraId="242BCE1C" w14:textId="77777777" w:rsidR="00CD710F" w:rsidRPr="00937430" w:rsidRDefault="004C683E" w:rsidP="00ED1415">
            <w:pPr>
              <w:rPr>
                <w:rFonts w:cstheme="minorHAnsi"/>
                <w:sz w:val="20"/>
                <w:szCs w:val="20"/>
              </w:rPr>
            </w:pPr>
            <w:r w:rsidRPr="00937430">
              <w:rPr>
                <w:rFonts w:cstheme="minorHAnsi"/>
                <w:sz w:val="20"/>
                <w:szCs w:val="20"/>
              </w:rPr>
              <w:t>1</w:t>
            </w:r>
            <w:r w:rsidR="00CD710F" w:rsidRPr="00937430">
              <w:rPr>
                <w:rFonts w:cstheme="minorHAnsi"/>
                <w:sz w:val="20"/>
                <w:szCs w:val="20"/>
              </w:rPr>
              <w:t>NPV–2 Reason about the location of numbers to 20 within the linear number system, including comparing using &lt; &gt; and =</w:t>
            </w:r>
          </w:p>
          <w:p w14:paraId="20379E9C" w14:textId="567D68D6" w:rsidR="00937430" w:rsidRPr="00937430" w:rsidRDefault="00937430" w:rsidP="00ED14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D496E5" w14:textId="7273649C" w:rsidR="004C683E" w:rsidRPr="00937430" w:rsidRDefault="004C683E" w:rsidP="00ED1415">
            <w:pPr>
              <w:rPr>
                <w:rFonts w:cstheme="minorHAnsi"/>
                <w:sz w:val="20"/>
                <w:szCs w:val="20"/>
              </w:rPr>
            </w:pPr>
            <w:r w:rsidRPr="00937430">
              <w:rPr>
                <w:rFonts w:cstheme="minorHAnsi"/>
                <w:sz w:val="20"/>
                <w:szCs w:val="20"/>
              </w:rPr>
              <w:t>2</w:t>
            </w:r>
            <w:r w:rsidRPr="00937430">
              <w:rPr>
                <w:rFonts w:cstheme="minorHAnsi"/>
                <w:sz w:val="20"/>
                <w:szCs w:val="20"/>
              </w:rPr>
              <w:t xml:space="preserve">NPV–1 Recognise the place value of each digit in two-digit </w:t>
            </w:r>
            <w:proofErr w:type="gramStart"/>
            <w:r w:rsidRPr="00937430">
              <w:rPr>
                <w:rFonts w:cstheme="minorHAnsi"/>
                <w:sz w:val="20"/>
                <w:szCs w:val="20"/>
              </w:rPr>
              <w:t>numbers, and</w:t>
            </w:r>
            <w:proofErr w:type="gramEnd"/>
            <w:r w:rsidRPr="00937430">
              <w:rPr>
                <w:rFonts w:cstheme="minorHAnsi"/>
                <w:sz w:val="20"/>
                <w:szCs w:val="20"/>
              </w:rPr>
              <w:t xml:space="preserve"> compose and decompose two-digit numbers using standard and non</w:t>
            </w:r>
            <w:r w:rsidRPr="00937430">
              <w:rPr>
                <w:rFonts w:cstheme="minorHAnsi"/>
                <w:sz w:val="20"/>
                <w:szCs w:val="20"/>
              </w:rPr>
              <w:t>-</w:t>
            </w:r>
            <w:r w:rsidRPr="00937430">
              <w:rPr>
                <w:rFonts w:cstheme="minorHAnsi"/>
                <w:sz w:val="20"/>
                <w:szCs w:val="20"/>
              </w:rPr>
              <w:t>standard partitioning</w:t>
            </w:r>
            <w:r w:rsidRPr="00937430">
              <w:rPr>
                <w:rFonts w:cstheme="minorHAnsi"/>
                <w:sz w:val="20"/>
                <w:szCs w:val="20"/>
              </w:rPr>
              <w:t>.</w:t>
            </w:r>
          </w:p>
          <w:p w14:paraId="4FE7A284" w14:textId="7D18CA0B" w:rsidR="004C683E" w:rsidRPr="00937430" w:rsidRDefault="004C683E" w:rsidP="00ED1415">
            <w:pPr>
              <w:rPr>
                <w:rFonts w:cstheme="minorHAnsi"/>
                <w:sz w:val="20"/>
                <w:szCs w:val="20"/>
              </w:rPr>
            </w:pPr>
            <w:r w:rsidRPr="00937430">
              <w:rPr>
                <w:rFonts w:cstheme="minorHAnsi"/>
                <w:sz w:val="20"/>
                <w:szCs w:val="20"/>
              </w:rPr>
              <w:t>2</w:t>
            </w:r>
            <w:r w:rsidRPr="00937430">
              <w:rPr>
                <w:rFonts w:cstheme="minorHAnsi"/>
                <w:sz w:val="20"/>
                <w:szCs w:val="20"/>
              </w:rPr>
              <w:t>NPV–2 Reason about the location of any two</w:t>
            </w:r>
            <w:r w:rsidRPr="00937430">
              <w:rPr>
                <w:rFonts w:cstheme="minorHAnsi"/>
                <w:sz w:val="20"/>
                <w:szCs w:val="20"/>
              </w:rPr>
              <w:t>digit number in the linear number system, including identifying the previous and next multiple of 10.</w:t>
            </w:r>
          </w:p>
          <w:p w14:paraId="3F1314F2" w14:textId="1E8BB612" w:rsidR="004C683E" w:rsidRPr="00937430" w:rsidRDefault="004C683E" w:rsidP="00ED14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4" w:type="dxa"/>
          </w:tcPr>
          <w:p w14:paraId="6995741A" w14:textId="77777777" w:rsidR="00CA70DB" w:rsidRPr="00D51FA0" w:rsidRDefault="009B5DDF" w:rsidP="00ED1415">
            <w:pPr>
              <w:rPr>
                <w:rFonts w:cstheme="minorHAnsi"/>
                <w:sz w:val="20"/>
                <w:szCs w:val="20"/>
              </w:rPr>
            </w:pPr>
            <w:r w:rsidRPr="00D51FA0">
              <w:rPr>
                <w:rFonts w:cstheme="minorHAnsi"/>
                <w:sz w:val="20"/>
                <w:szCs w:val="20"/>
              </w:rPr>
              <w:t>3</w:t>
            </w:r>
            <w:r w:rsidR="00405474" w:rsidRPr="00D51FA0">
              <w:rPr>
                <w:rFonts w:cstheme="minorHAnsi"/>
                <w:sz w:val="20"/>
                <w:szCs w:val="20"/>
              </w:rPr>
              <w:t>NPV–1 Know that 10 tens are equivalent to 1 hundred, and that 100 is 10 times the size of 10; apply this to identify and work out how many 10s there are in other three</w:t>
            </w:r>
            <w:r w:rsidR="00405474" w:rsidRPr="00D51FA0">
              <w:rPr>
                <w:rFonts w:cstheme="minorHAnsi"/>
                <w:sz w:val="20"/>
                <w:szCs w:val="20"/>
              </w:rPr>
              <w:t>digit multiples of 10.</w:t>
            </w:r>
          </w:p>
          <w:p w14:paraId="2B2DDB07" w14:textId="77777777" w:rsidR="00937430" w:rsidRPr="00D51FA0" w:rsidRDefault="00937430" w:rsidP="00ED1415">
            <w:pPr>
              <w:rPr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3</w:t>
            </w:r>
            <w:r w:rsidRPr="00D51FA0">
              <w:rPr>
                <w:sz w:val="20"/>
                <w:szCs w:val="20"/>
              </w:rPr>
              <w:t xml:space="preserve">NPV–2 Recognise the place value of each digit in three-digit </w:t>
            </w:r>
            <w:proofErr w:type="gramStart"/>
            <w:r w:rsidRPr="00D51FA0">
              <w:rPr>
                <w:sz w:val="20"/>
                <w:szCs w:val="20"/>
              </w:rPr>
              <w:t>numbers, and</w:t>
            </w:r>
            <w:proofErr w:type="gramEnd"/>
            <w:r w:rsidRPr="00D51FA0">
              <w:rPr>
                <w:sz w:val="20"/>
                <w:szCs w:val="20"/>
              </w:rPr>
              <w:t xml:space="preserve"> compose and decompose three-digit numbers using standard and non-standard partitioning.</w:t>
            </w:r>
          </w:p>
          <w:p w14:paraId="41FC20F7" w14:textId="77777777" w:rsidR="00937430" w:rsidRPr="00D51FA0" w:rsidRDefault="00937430" w:rsidP="00ED1415">
            <w:pPr>
              <w:rPr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3</w:t>
            </w:r>
            <w:r w:rsidRPr="00D51FA0">
              <w:rPr>
                <w:sz w:val="20"/>
                <w:szCs w:val="20"/>
              </w:rPr>
              <w:t>NPV–3 Reason about the location of any three</w:t>
            </w:r>
            <w:r w:rsidRPr="00D51FA0">
              <w:rPr>
                <w:sz w:val="20"/>
                <w:szCs w:val="20"/>
              </w:rPr>
              <w:t>-</w:t>
            </w:r>
            <w:r w:rsidRPr="00D51FA0">
              <w:rPr>
                <w:sz w:val="20"/>
                <w:szCs w:val="20"/>
              </w:rPr>
              <w:t>digit number in the linear number system, including identifying the previous and next multiple of 100 and 10.</w:t>
            </w:r>
          </w:p>
          <w:p w14:paraId="56AF9199" w14:textId="6CA3EE48" w:rsidR="00937430" w:rsidRPr="00D51FA0" w:rsidRDefault="00937430" w:rsidP="00ED1415">
            <w:pPr>
              <w:rPr>
                <w:rFonts w:cstheme="minorHAnsi"/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3</w:t>
            </w:r>
            <w:r w:rsidRPr="00D51FA0">
              <w:rPr>
                <w:sz w:val="20"/>
                <w:szCs w:val="20"/>
              </w:rPr>
              <w:t>NPV–4 Divide 100 into 2, 4, 5 and 10 equal parts, and read scales/number lines marked in multiples of 100 with 2, 4, 5 and 10 equal parts.</w:t>
            </w:r>
          </w:p>
        </w:tc>
        <w:tc>
          <w:tcPr>
            <w:tcW w:w="1701" w:type="dxa"/>
          </w:tcPr>
          <w:p w14:paraId="629AF038" w14:textId="77777777" w:rsidR="00CA70DB" w:rsidRPr="00D51FA0" w:rsidRDefault="009B5DDF" w:rsidP="00ED1415">
            <w:pPr>
              <w:rPr>
                <w:rFonts w:cstheme="minorHAnsi"/>
                <w:sz w:val="20"/>
                <w:szCs w:val="20"/>
              </w:rPr>
            </w:pPr>
            <w:r w:rsidRPr="00D51FA0">
              <w:rPr>
                <w:rFonts w:cstheme="minorHAnsi"/>
                <w:sz w:val="20"/>
                <w:szCs w:val="20"/>
              </w:rPr>
              <w:t>4</w:t>
            </w:r>
            <w:r w:rsidR="00405474" w:rsidRPr="00D51FA0">
              <w:rPr>
                <w:rFonts w:cstheme="minorHAnsi"/>
                <w:sz w:val="20"/>
                <w:szCs w:val="20"/>
              </w:rPr>
              <w:t xml:space="preserve">NPV–1 Know that 10 </w:t>
            </w:r>
            <w:proofErr w:type="gramStart"/>
            <w:r w:rsidR="00405474" w:rsidRPr="00D51FA0">
              <w:rPr>
                <w:rFonts w:cstheme="minorHAnsi"/>
                <w:sz w:val="20"/>
                <w:szCs w:val="20"/>
              </w:rPr>
              <w:t>hundreds</w:t>
            </w:r>
            <w:proofErr w:type="gramEnd"/>
            <w:r w:rsidR="00405474" w:rsidRPr="00D51FA0">
              <w:rPr>
                <w:rFonts w:cstheme="minorHAnsi"/>
                <w:sz w:val="20"/>
                <w:szCs w:val="20"/>
              </w:rPr>
              <w:t xml:space="preserve"> are equivalent to 1 thousand, and that 1,000 is 10 times the size of 100; apply this to identify and work out how many 100s there are in other four-digit multiples of 100.</w:t>
            </w:r>
          </w:p>
          <w:p w14:paraId="72299991" w14:textId="77777777" w:rsidR="00937430" w:rsidRPr="00D51FA0" w:rsidRDefault="00937430" w:rsidP="00ED1415">
            <w:pPr>
              <w:rPr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4</w:t>
            </w:r>
            <w:r w:rsidRPr="00D51FA0">
              <w:rPr>
                <w:sz w:val="20"/>
                <w:szCs w:val="20"/>
              </w:rPr>
              <w:t xml:space="preserve">NPV–2 Recognise the place value of each digit in four-digit </w:t>
            </w:r>
            <w:proofErr w:type="gramStart"/>
            <w:r w:rsidRPr="00D51FA0">
              <w:rPr>
                <w:sz w:val="20"/>
                <w:szCs w:val="20"/>
              </w:rPr>
              <w:t>numbers, and</w:t>
            </w:r>
            <w:proofErr w:type="gramEnd"/>
            <w:r w:rsidRPr="00D51FA0">
              <w:rPr>
                <w:sz w:val="20"/>
                <w:szCs w:val="20"/>
              </w:rPr>
              <w:t xml:space="preserve"> compose and decompose four-digit numbers using standard and non</w:t>
            </w:r>
            <w:r w:rsidRPr="00D51FA0">
              <w:rPr>
                <w:sz w:val="20"/>
                <w:szCs w:val="20"/>
              </w:rPr>
              <w:t>-</w:t>
            </w:r>
            <w:r w:rsidRPr="00D51FA0">
              <w:rPr>
                <w:sz w:val="20"/>
                <w:szCs w:val="20"/>
              </w:rPr>
              <w:t>standard partitioning.</w:t>
            </w:r>
          </w:p>
          <w:p w14:paraId="5EDF29E9" w14:textId="77777777" w:rsidR="00937430" w:rsidRPr="00D51FA0" w:rsidRDefault="00937430" w:rsidP="00ED1415">
            <w:pPr>
              <w:rPr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4</w:t>
            </w:r>
            <w:r w:rsidRPr="00D51FA0">
              <w:rPr>
                <w:sz w:val="20"/>
                <w:szCs w:val="20"/>
              </w:rPr>
              <w:t>NPV–3 Reason about the location of any four</w:t>
            </w:r>
            <w:r w:rsidRPr="00D51FA0">
              <w:rPr>
                <w:sz w:val="20"/>
                <w:szCs w:val="20"/>
              </w:rPr>
              <w:t>digit number in the linear number system, including identifying the previous and next multiple of 1,000 and 100, and rounding to the nearest of each.</w:t>
            </w:r>
          </w:p>
          <w:p w14:paraId="2B97A534" w14:textId="51B4AEDA" w:rsidR="00937430" w:rsidRPr="00D51FA0" w:rsidRDefault="009326C2" w:rsidP="00ED1415">
            <w:pPr>
              <w:rPr>
                <w:rFonts w:cstheme="minorHAnsi"/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4</w:t>
            </w:r>
            <w:r w:rsidRPr="00D51FA0">
              <w:rPr>
                <w:sz w:val="20"/>
                <w:szCs w:val="20"/>
              </w:rPr>
              <w:t>NPV–4 Divide 1,000 into 2, 4, 5 and 10 equal parts, and read scales/number lines marked in multiples of 1,000 with 2, 4, 5 and 10 equal parts.</w:t>
            </w:r>
          </w:p>
        </w:tc>
        <w:tc>
          <w:tcPr>
            <w:tcW w:w="2208" w:type="dxa"/>
          </w:tcPr>
          <w:p w14:paraId="0C580BDB" w14:textId="77777777" w:rsidR="00CA70DB" w:rsidRPr="00D51FA0" w:rsidRDefault="009B5DDF" w:rsidP="00ED1415">
            <w:pPr>
              <w:rPr>
                <w:rFonts w:cstheme="minorHAnsi"/>
                <w:sz w:val="20"/>
                <w:szCs w:val="20"/>
              </w:rPr>
            </w:pPr>
            <w:r w:rsidRPr="00D51FA0">
              <w:rPr>
                <w:rFonts w:cstheme="minorHAnsi"/>
                <w:sz w:val="20"/>
                <w:szCs w:val="20"/>
              </w:rPr>
              <w:t>5NPV–1 Know that 10 tenths are equivalent to 1 one, and that 1 is 10 times the size of 0.1. Know that 100 hundredths are equivalent to 1 one, and that 1 is 100 times the size of 0.01. Know that 10 hundredths are equivalent to 1 tenth, and that 0.1 is 10 times the size of 0.01.</w:t>
            </w:r>
          </w:p>
          <w:p w14:paraId="2C0C7BD7" w14:textId="45792AE7" w:rsidR="00937430" w:rsidRPr="00D51FA0" w:rsidRDefault="00937430" w:rsidP="00ED1415">
            <w:pPr>
              <w:rPr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5</w:t>
            </w:r>
            <w:r w:rsidRPr="00D51FA0">
              <w:rPr>
                <w:sz w:val="20"/>
                <w:szCs w:val="20"/>
              </w:rPr>
              <w:t xml:space="preserve">NPV–2 Recognise the place value of each digit in numbers with up to 2 decimal </w:t>
            </w:r>
            <w:proofErr w:type="gramStart"/>
            <w:r w:rsidRPr="00D51FA0">
              <w:rPr>
                <w:sz w:val="20"/>
                <w:szCs w:val="20"/>
              </w:rPr>
              <w:t>places, and</w:t>
            </w:r>
            <w:proofErr w:type="gramEnd"/>
            <w:r w:rsidRPr="00D51FA0">
              <w:rPr>
                <w:sz w:val="20"/>
                <w:szCs w:val="20"/>
              </w:rPr>
              <w:t xml:space="preserve"> compose and decompose numbers with up to 2 decimal places using standard and non</w:t>
            </w:r>
            <w:r w:rsidRPr="00D51FA0">
              <w:rPr>
                <w:sz w:val="20"/>
                <w:szCs w:val="20"/>
              </w:rPr>
              <w:t>-</w:t>
            </w:r>
            <w:r w:rsidRPr="00D51FA0">
              <w:rPr>
                <w:sz w:val="20"/>
                <w:szCs w:val="20"/>
              </w:rPr>
              <w:t>standard partitioning.</w:t>
            </w:r>
          </w:p>
          <w:p w14:paraId="1869084D" w14:textId="77777777" w:rsidR="00937430" w:rsidRPr="00D51FA0" w:rsidRDefault="00937430" w:rsidP="00ED1415">
            <w:pPr>
              <w:rPr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5</w:t>
            </w:r>
            <w:r w:rsidRPr="00D51FA0">
              <w:rPr>
                <w:sz w:val="20"/>
                <w:szCs w:val="20"/>
              </w:rPr>
              <w:t>NPV–3 Reason about the location of any number with up to 2 decimals places in the linear number system, including identifying the previous and next multiple of 1 and 0.1 and rounding to the nearest of each.</w:t>
            </w:r>
          </w:p>
          <w:p w14:paraId="20FBFF69" w14:textId="77777777" w:rsidR="009326C2" w:rsidRPr="00D51FA0" w:rsidRDefault="009326C2" w:rsidP="00ED1415">
            <w:pPr>
              <w:rPr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5</w:t>
            </w:r>
            <w:r w:rsidRPr="00D51FA0">
              <w:rPr>
                <w:sz w:val="20"/>
                <w:szCs w:val="20"/>
              </w:rPr>
              <w:t>NPV–4 Divide 1 into 2, 4, 5 and 10 equal parts, and read scales/number lines marked in units of 1 with 2, 4, 5 and 10 equal parts.</w:t>
            </w:r>
          </w:p>
          <w:p w14:paraId="73A98DA2" w14:textId="4702D484" w:rsidR="009326C2" w:rsidRPr="00D51FA0" w:rsidRDefault="009326C2" w:rsidP="00ED1415">
            <w:pPr>
              <w:rPr>
                <w:rFonts w:cstheme="minorHAnsi"/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5</w:t>
            </w:r>
            <w:r w:rsidRPr="00D51FA0">
              <w:rPr>
                <w:sz w:val="20"/>
                <w:szCs w:val="20"/>
              </w:rPr>
              <w:t>NPV–5 Convert between units of measure, including using common decimals and fractions.</w:t>
            </w:r>
          </w:p>
        </w:tc>
        <w:tc>
          <w:tcPr>
            <w:tcW w:w="2268" w:type="dxa"/>
          </w:tcPr>
          <w:p w14:paraId="0E48F699" w14:textId="77777777" w:rsidR="00CA70DB" w:rsidRPr="00D51FA0" w:rsidRDefault="00937430" w:rsidP="00ED1415">
            <w:pPr>
              <w:rPr>
                <w:rFonts w:cstheme="minorHAnsi"/>
                <w:sz w:val="20"/>
                <w:szCs w:val="20"/>
              </w:rPr>
            </w:pPr>
            <w:r w:rsidRPr="00D51FA0">
              <w:rPr>
                <w:rFonts w:cstheme="minorHAnsi"/>
                <w:sz w:val="20"/>
                <w:szCs w:val="20"/>
              </w:rPr>
              <w:t>6</w:t>
            </w:r>
            <w:r w:rsidRPr="00D51FA0">
              <w:rPr>
                <w:rFonts w:cstheme="minorHAnsi"/>
                <w:sz w:val="20"/>
                <w:szCs w:val="20"/>
              </w:rPr>
              <w:t>NPV–1 Understand the relationship between powers of 10 from 1 hundredth to 10 million, and use this to make a given number 10, 100, 1,000, 1 tenth, 1 hundredth or 1 thousandth times the size (multiply and divide by 10, 100 and 1,000).</w:t>
            </w:r>
          </w:p>
          <w:p w14:paraId="0ACA5BAA" w14:textId="0C26BEFA" w:rsidR="00937430" w:rsidRPr="00D51FA0" w:rsidRDefault="00937430" w:rsidP="00ED1415">
            <w:pPr>
              <w:rPr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6</w:t>
            </w:r>
            <w:r w:rsidRPr="00D51FA0">
              <w:rPr>
                <w:sz w:val="20"/>
                <w:szCs w:val="20"/>
              </w:rPr>
              <w:t>NPV–2 Recognise the place value of each digit in numbers up to 10 million, including decimal fractions, and compose and decompose numbers up to 10 million using standard and non</w:t>
            </w:r>
            <w:r w:rsidRPr="00D51FA0">
              <w:rPr>
                <w:sz w:val="20"/>
                <w:szCs w:val="20"/>
              </w:rPr>
              <w:t>-</w:t>
            </w:r>
            <w:r w:rsidRPr="00D51FA0">
              <w:rPr>
                <w:sz w:val="20"/>
                <w:szCs w:val="20"/>
              </w:rPr>
              <w:t>standard partitioning.</w:t>
            </w:r>
          </w:p>
          <w:p w14:paraId="57ECA32C" w14:textId="77777777" w:rsidR="00937430" w:rsidRPr="00D51FA0" w:rsidRDefault="00937430" w:rsidP="00ED1415">
            <w:pPr>
              <w:rPr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6</w:t>
            </w:r>
            <w:r w:rsidRPr="00D51FA0">
              <w:rPr>
                <w:sz w:val="20"/>
                <w:szCs w:val="20"/>
              </w:rPr>
              <w:t>NPV–3 Reason about the location of any number up to 10 million, including decimal fractions, in the linear number system, and round numbers, as appropriate, including in contexts.</w:t>
            </w:r>
          </w:p>
          <w:p w14:paraId="4AAB8693" w14:textId="775E8A93" w:rsidR="009326C2" w:rsidRPr="00D51FA0" w:rsidRDefault="009326C2" w:rsidP="00ED1415">
            <w:pPr>
              <w:rPr>
                <w:rFonts w:cstheme="minorHAnsi"/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6</w:t>
            </w:r>
            <w:r w:rsidRPr="00D51FA0">
              <w:rPr>
                <w:sz w:val="20"/>
                <w:szCs w:val="20"/>
              </w:rPr>
              <w:t>NPV–4 Divide powers of 10, from 1 hundredth to 10 million, into 2, 4, 5 and 10 equal parts, and read scales/number lines with labelled intervals divided into 2, 4, 5 and 10 equal parts.</w:t>
            </w:r>
          </w:p>
        </w:tc>
      </w:tr>
      <w:tr w:rsidR="00126E7B" w:rsidRPr="004F6C92" w14:paraId="596BD53A" w14:textId="31567FA8" w:rsidTr="00885584">
        <w:trPr>
          <w:trHeight w:val="1873"/>
        </w:trPr>
        <w:tc>
          <w:tcPr>
            <w:tcW w:w="1838" w:type="dxa"/>
          </w:tcPr>
          <w:p w14:paraId="5CF8F1DC" w14:textId="26D0A9CF" w:rsidR="00126E7B" w:rsidRPr="004F6C92" w:rsidRDefault="001604BF" w:rsidP="00CE2B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Language Focus</w:t>
            </w:r>
          </w:p>
          <w:p w14:paraId="6279C01F" w14:textId="77777777" w:rsidR="00126E7B" w:rsidRPr="004F6C92" w:rsidRDefault="00126E7B" w:rsidP="00CE2BA0">
            <w:pPr>
              <w:rPr>
                <w:rFonts w:cstheme="minorHAnsi"/>
                <w:b/>
              </w:rPr>
            </w:pPr>
          </w:p>
        </w:tc>
        <w:tc>
          <w:tcPr>
            <w:tcW w:w="2776" w:type="dxa"/>
            <w:gridSpan w:val="2"/>
          </w:tcPr>
          <w:p w14:paraId="06BA3860" w14:textId="54EF83CE" w:rsidR="00126E7B" w:rsidRPr="00AB2A0A" w:rsidRDefault="00AA37B2" w:rsidP="00CE2BA0">
            <w:pPr>
              <w:contextualSpacing/>
              <w:rPr>
                <w:i/>
                <w:iCs/>
                <w:sz w:val="20"/>
                <w:szCs w:val="20"/>
              </w:rPr>
            </w:pPr>
            <w:r w:rsidRPr="00AA37B2">
              <w:rPr>
                <w:sz w:val="20"/>
                <w:szCs w:val="20"/>
              </w:rPr>
              <w:t xml:space="preserve">NPV -1 </w:t>
            </w:r>
            <w:r w:rsidR="001604BF" w:rsidRPr="00AA37B2">
              <w:rPr>
                <w:sz w:val="20"/>
                <w:szCs w:val="20"/>
              </w:rPr>
              <w:t xml:space="preserve">Counting using number names: </w:t>
            </w:r>
            <w:r w:rsidR="001604BF" w:rsidRPr="00AB2A0A">
              <w:rPr>
                <w:i/>
                <w:iCs/>
                <w:sz w:val="20"/>
                <w:szCs w:val="20"/>
              </w:rPr>
              <w:t>“…seven, eight, nine, ten, eleven, twelve, thirteen… twenty, twenty-one, twenty-two…”</w:t>
            </w:r>
          </w:p>
          <w:p w14:paraId="7D6EE9A6" w14:textId="77777777" w:rsidR="001604BF" w:rsidRPr="00AB2A0A" w:rsidRDefault="001604BF" w:rsidP="00CE2BA0">
            <w:pPr>
              <w:contextualSpacing/>
              <w:rPr>
                <w:i/>
                <w:iCs/>
                <w:sz w:val="20"/>
                <w:szCs w:val="20"/>
              </w:rPr>
            </w:pPr>
            <w:r w:rsidRPr="00AA37B2">
              <w:rPr>
                <w:sz w:val="20"/>
                <w:szCs w:val="20"/>
              </w:rPr>
              <w:t xml:space="preserve">Dual counting: </w:t>
            </w:r>
            <w:r w:rsidRPr="00AB2A0A">
              <w:rPr>
                <w:i/>
                <w:iCs/>
                <w:sz w:val="20"/>
                <w:szCs w:val="20"/>
              </w:rPr>
              <w:t>“…seven, eight, nine, one-ten, one-ten-one, one-ten-two, one-ten-three… two-tens, two-tens-one, two-tens two…”</w:t>
            </w:r>
          </w:p>
          <w:p w14:paraId="1253D480" w14:textId="31282A58" w:rsidR="00AA37B2" w:rsidRPr="001604BF" w:rsidRDefault="00AA37B2" w:rsidP="00CE2BA0">
            <w:pPr>
              <w:contextualSpacing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AA37B2">
              <w:rPr>
                <w:sz w:val="20"/>
                <w:szCs w:val="20"/>
              </w:rPr>
              <w:t xml:space="preserve">NPV -2 </w:t>
            </w:r>
            <w:r w:rsidR="00AB2A0A" w:rsidRPr="00AB2A0A">
              <w:rPr>
                <w:i/>
                <w:iCs/>
                <w:sz w:val="20"/>
                <w:szCs w:val="20"/>
              </w:rPr>
              <w:t>“</w:t>
            </w:r>
            <w:r w:rsidRPr="00AB2A0A">
              <w:rPr>
                <w:i/>
                <w:iCs/>
                <w:sz w:val="20"/>
                <w:szCs w:val="20"/>
              </w:rPr>
              <w:t>a is 5 because it is halfway between 0 and 10.” “b is 12 because it is 2 more than 10.” “c is 19 because it is one less than 20.”</w:t>
            </w:r>
          </w:p>
        </w:tc>
        <w:tc>
          <w:tcPr>
            <w:tcW w:w="1701" w:type="dxa"/>
          </w:tcPr>
          <w:p w14:paraId="4AFA5E38" w14:textId="77777777" w:rsidR="00126E7B" w:rsidRPr="00937430" w:rsidRDefault="00126E7B" w:rsidP="00CE2BA0">
            <w:pPr>
              <w:contextualSpacing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044" w:type="dxa"/>
          </w:tcPr>
          <w:p w14:paraId="26ED5DFB" w14:textId="77777777" w:rsidR="00126E7B" w:rsidRPr="00937430" w:rsidRDefault="00126E7B" w:rsidP="00CE2BA0">
            <w:pPr>
              <w:contextualSpacing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14:paraId="5E6C2A18" w14:textId="28718AFA" w:rsidR="00126E7B" w:rsidRPr="00937430" w:rsidRDefault="00126E7B" w:rsidP="00CE2BA0">
            <w:pPr>
              <w:contextualSpacing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208" w:type="dxa"/>
          </w:tcPr>
          <w:p w14:paraId="7697C14B" w14:textId="77777777" w:rsidR="00126E7B" w:rsidRPr="00937430" w:rsidRDefault="00126E7B" w:rsidP="00CE2BA0">
            <w:pPr>
              <w:contextualSpacing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36DF4DA3" w14:textId="77777777" w:rsidR="00126E7B" w:rsidRPr="00937430" w:rsidRDefault="00126E7B" w:rsidP="00CE2BA0">
            <w:pPr>
              <w:contextualSpacing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bookmarkEnd w:id="0"/>
      <w:tr w:rsidR="00CA70DB" w:rsidRPr="004F6C92" w14:paraId="248FEDB3" w14:textId="2FB23591" w:rsidTr="007554BF">
        <w:trPr>
          <w:trHeight w:val="1873"/>
        </w:trPr>
        <w:tc>
          <w:tcPr>
            <w:tcW w:w="1838" w:type="dxa"/>
          </w:tcPr>
          <w:p w14:paraId="1B7F472C" w14:textId="77777777" w:rsidR="00CA70DB" w:rsidRDefault="00CA70DB" w:rsidP="000060D8">
            <w:pPr>
              <w:rPr>
                <w:rFonts w:cstheme="minorHAnsi"/>
                <w:b/>
              </w:rPr>
            </w:pPr>
            <w:r w:rsidRPr="004F6C92">
              <w:rPr>
                <w:rFonts w:cstheme="minorHAnsi"/>
                <w:b/>
              </w:rPr>
              <w:t>Implementation</w:t>
            </w:r>
          </w:p>
          <w:p w14:paraId="7CDA12B6" w14:textId="77777777" w:rsidR="00CA70DB" w:rsidRDefault="00CA70DB" w:rsidP="000060D8">
            <w:pPr>
              <w:rPr>
                <w:rFonts w:cstheme="minorHAnsi"/>
              </w:rPr>
            </w:pPr>
          </w:p>
          <w:p w14:paraId="65EE9EFD" w14:textId="0EA71844" w:rsidR="00CA70DB" w:rsidRPr="004F6C92" w:rsidRDefault="00CA70DB" w:rsidP="000060D8">
            <w:pPr>
              <w:rPr>
                <w:rFonts w:cstheme="minorHAnsi"/>
              </w:rPr>
            </w:pPr>
            <w:r>
              <w:rPr>
                <w:rFonts w:cstheme="minorHAnsi"/>
              </w:rPr>
              <w:t>Number</w:t>
            </w:r>
            <w:r>
              <w:rPr>
                <w:rFonts w:cstheme="minorHAnsi"/>
              </w:rPr>
              <w:t xml:space="preserve"> Facts (NF)</w:t>
            </w:r>
          </w:p>
          <w:p w14:paraId="0E5631C5" w14:textId="77777777" w:rsidR="00CA70DB" w:rsidRPr="004F6C92" w:rsidRDefault="00CA70DB" w:rsidP="000060D8">
            <w:pPr>
              <w:rPr>
                <w:rFonts w:cstheme="minorHAnsi"/>
              </w:rPr>
            </w:pPr>
          </w:p>
          <w:p w14:paraId="1FA0DFA5" w14:textId="77777777" w:rsidR="00CA70DB" w:rsidRPr="004F6C92" w:rsidRDefault="00CA70DB" w:rsidP="000060D8">
            <w:pPr>
              <w:rPr>
                <w:rFonts w:cstheme="minorHAnsi"/>
                <w:b/>
              </w:rPr>
            </w:pPr>
          </w:p>
        </w:tc>
        <w:tc>
          <w:tcPr>
            <w:tcW w:w="1358" w:type="dxa"/>
          </w:tcPr>
          <w:p w14:paraId="74EFD2F8" w14:textId="77777777" w:rsidR="007554BF" w:rsidRPr="007554BF" w:rsidRDefault="007554BF" w:rsidP="000060D8">
            <w:pPr>
              <w:widowControl w:val="0"/>
              <w:rPr>
                <w:rFonts w:cstheme="minorHAnsi"/>
                <w:sz w:val="20"/>
                <w:szCs w:val="20"/>
              </w:rPr>
            </w:pPr>
            <w:proofErr w:type="gramStart"/>
            <w:r w:rsidRPr="007554BF">
              <w:rPr>
                <w:rFonts w:cstheme="minorHAnsi"/>
                <w:sz w:val="20"/>
                <w:szCs w:val="20"/>
              </w:rPr>
              <w:t>Pre NF -1</w:t>
            </w:r>
            <w:proofErr w:type="gramEnd"/>
          </w:p>
          <w:p w14:paraId="663F4F6D" w14:textId="77777777" w:rsidR="007554BF" w:rsidRPr="007554BF" w:rsidRDefault="007554BF" w:rsidP="007554BF">
            <w:pPr>
              <w:pStyle w:val="NoSpacing"/>
              <w:rPr>
                <w:sz w:val="20"/>
                <w:szCs w:val="20"/>
              </w:rPr>
            </w:pPr>
            <w:r w:rsidRPr="007554BF">
              <w:rPr>
                <w:sz w:val="20"/>
                <w:szCs w:val="20"/>
              </w:rPr>
              <w:t>Begin to experience partitioning and combining numbers within 10.</w:t>
            </w:r>
          </w:p>
          <w:p w14:paraId="20441673" w14:textId="77777777" w:rsidR="007554BF" w:rsidRPr="007554BF" w:rsidRDefault="007554BF" w:rsidP="007554BF">
            <w:pPr>
              <w:pStyle w:val="NoSpacing"/>
              <w:rPr>
                <w:sz w:val="20"/>
                <w:szCs w:val="20"/>
              </w:rPr>
            </w:pPr>
            <w:r w:rsidRPr="007554BF">
              <w:rPr>
                <w:sz w:val="20"/>
                <w:szCs w:val="20"/>
              </w:rPr>
              <w:t>Pre NF-2</w:t>
            </w:r>
          </w:p>
          <w:p w14:paraId="79B06ED7" w14:textId="1CAA15F4" w:rsidR="007554BF" w:rsidRPr="007554BF" w:rsidRDefault="007554BF" w:rsidP="007554B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554BF">
              <w:rPr>
                <w:sz w:val="20"/>
                <w:szCs w:val="20"/>
              </w:rPr>
              <w:t>Distribute items fairly, for example, put 3 marbles in each bag. Recognise when items are distributed unfairly.</w:t>
            </w:r>
          </w:p>
        </w:tc>
        <w:tc>
          <w:tcPr>
            <w:tcW w:w="1418" w:type="dxa"/>
          </w:tcPr>
          <w:p w14:paraId="58617AF0" w14:textId="3F8ED606" w:rsidR="00CA70DB" w:rsidRPr="00D51FA0" w:rsidRDefault="00937430" w:rsidP="000060D8">
            <w:pPr>
              <w:contextualSpacing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51F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1</w:t>
            </w:r>
            <w:r w:rsidR="00CD710F" w:rsidRPr="00D51F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NF–1 Develop fluency in addition and subtraction facts within 10.</w:t>
            </w:r>
          </w:p>
          <w:p w14:paraId="27EF320D" w14:textId="65B57374" w:rsidR="005B2E31" w:rsidRPr="00D51FA0" w:rsidRDefault="00937430" w:rsidP="000060D8">
            <w:pPr>
              <w:contextualSpacing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51FA0">
              <w:rPr>
                <w:rFonts w:cstheme="minorHAnsi"/>
                <w:sz w:val="20"/>
                <w:szCs w:val="20"/>
              </w:rPr>
              <w:t>1</w:t>
            </w:r>
            <w:r w:rsidR="005B2E31" w:rsidRPr="00D51FA0">
              <w:rPr>
                <w:rFonts w:cstheme="minorHAnsi"/>
                <w:sz w:val="20"/>
                <w:szCs w:val="20"/>
              </w:rPr>
              <w:t>NF–2 Count forwards and backwards in multiples of 2, 5 and 10, up to 10 multiples, beginning with any multiple, and count forwards and backwards through the odd numbers.</w:t>
            </w:r>
          </w:p>
        </w:tc>
        <w:tc>
          <w:tcPr>
            <w:tcW w:w="1701" w:type="dxa"/>
          </w:tcPr>
          <w:p w14:paraId="736614CF" w14:textId="442713FF" w:rsidR="00CA70DB" w:rsidRPr="00D51FA0" w:rsidRDefault="00B17E8A" w:rsidP="000060D8">
            <w:pPr>
              <w:contextualSpacing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51FA0">
              <w:rPr>
                <w:sz w:val="20"/>
                <w:szCs w:val="20"/>
              </w:rPr>
              <w:t>2</w:t>
            </w:r>
            <w:r w:rsidRPr="00D51FA0">
              <w:rPr>
                <w:sz w:val="20"/>
                <w:szCs w:val="20"/>
              </w:rPr>
              <w:t>NF–1 Secure fluency in addition and subtraction facts within 10, through continued practice.</w:t>
            </w:r>
          </w:p>
        </w:tc>
        <w:tc>
          <w:tcPr>
            <w:tcW w:w="2044" w:type="dxa"/>
          </w:tcPr>
          <w:p w14:paraId="061BD494" w14:textId="77777777" w:rsidR="00CA70DB" w:rsidRPr="00D51FA0" w:rsidRDefault="00B17E8A" w:rsidP="000060D8">
            <w:pPr>
              <w:contextualSpacing/>
              <w:rPr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3</w:t>
            </w:r>
            <w:r w:rsidRPr="00D51FA0">
              <w:rPr>
                <w:sz w:val="20"/>
                <w:szCs w:val="20"/>
              </w:rPr>
              <w:t>NF–1 Secure fluency in addition and subtraction facts that bridge 10, through continued practice.</w:t>
            </w:r>
          </w:p>
          <w:p w14:paraId="00DAB73A" w14:textId="77777777" w:rsidR="00B17E8A" w:rsidRPr="00D51FA0" w:rsidRDefault="00B17E8A" w:rsidP="000060D8">
            <w:pPr>
              <w:contextualSpacing/>
              <w:rPr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3</w:t>
            </w:r>
            <w:r w:rsidRPr="00D51FA0">
              <w:rPr>
                <w:sz w:val="20"/>
                <w:szCs w:val="20"/>
              </w:rPr>
              <w:t>NF–2 Recall multiplication facts, and corresponding division facts, in the 10, 5, 2, 4 and 8 multiplication tables, and recognise products in these multiplication tables as multiples of the corresponding number.</w:t>
            </w:r>
            <w:r w:rsidRPr="00D51FA0">
              <w:rPr>
                <w:sz w:val="20"/>
                <w:szCs w:val="20"/>
              </w:rPr>
              <w:t xml:space="preserve"> </w:t>
            </w:r>
          </w:p>
          <w:p w14:paraId="29172EBE" w14:textId="61B3CAF0" w:rsidR="00B17E8A" w:rsidRPr="00D51FA0" w:rsidRDefault="00B17E8A" w:rsidP="000060D8">
            <w:pPr>
              <w:contextualSpacing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51FA0">
              <w:rPr>
                <w:sz w:val="20"/>
                <w:szCs w:val="20"/>
              </w:rPr>
              <w:t>3</w:t>
            </w:r>
            <w:r w:rsidRPr="00D51FA0">
              <w:rPr>
                <w:sz w:val="20"/>
                <w:szCs w:val="20"/>
              </w:rPr>
              <w:t>NF–3 Apply place-value knowledge to known additive and multiplicative number facts (scaling facts by 10).</w:t>
            </w:r>
          </w:p>
        </w:tc>
        <w:tc>
          <w:tcPr>
            <w:tcW w:w="1701" w:type="dxa"/>
          </w:tcPr>
          <w:p w14:paraId="5C9D3305" w14:textId="4099752B" w:rsidR="00CA70DB" w:rsidRPr="00D51FA0" w:rsidRDefault="00B17E8A" w:rsidP="000060D8">
            <w:pPr>
              <w:contextualSpacing/>
              <w:rPr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4</w:t>
            </w:r>
            <w:r w:rsidRPr="00D51FA0">
              <w:rPr>
                <w:sz w:val="20"/>
                <w:szCs w:val="20"/>
              </w:rPr>
              <w:t xml:space="preserve">NF–1 Recall multiplication and division facts up to </w:t>
            </w:r>
            <w:r w:rsidRPr="00D51FA0">
              <w:rPr>
                <w:sz w:val="20"/>
                <w:szCs w:val="20"/>
              </w:rPr>
              <w:t xml:space="preserve"> 12 x </w:t>
            </w:r>
            <w:proofErr w:type="gramStart"/>
            <w:r w:rsidRPr="00D51FA0">
              <w:rPr>
                <w:sz w:val="20"/>
                <w:szCs w:val="20"/>
              </w:rPr>
              <w:t>12</w:t>
            </w:r>
            <w:r w:rsidRPr="00D51FA0">
              <w:rPr>
                <w:sz w:val="20"/>
                <w:szCs w:val="20"/>
              </w:rPr>
              <w:t>, and</w:t>
            </w:r>
            <w:proofErr w:type="gramEnd"/>
            <w:r w:rsidRPr="00D51FA0">
              <w:rPr>
                <w:sz w:val="20"/>
                <w:szCs w:val="20"/>
              </w:rPr>
              <w:t xml:space="preserve"> recognise products in multiplication tables as multiples of the corresponding number.</w:t>
            </w:r>
          </w:p>
          <w:p w14:paraId="1C06E937" w14:textId="77777777" w:rsidR="00B17E8A" w:rsidRPr="00D51FA0" w:rsidRDefault="00B17E8A" w:rsidP="000060D8">
            <w:pPr>
              <w:contextualSpacing/>
              <w:rPr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4</w:t>
            </w:r>
            <w:r w:rsidRPr="00D51FA0">
              <w:rPr>
                <w:sz w:val="20"/>
                <w:szCs w:val="20"/>
              </w:rPr>
              <w:t>NF–2 Solve division problems, with two-digit dividends and one-digit divisors, that involve remainders, and interpret remainders appropriately according to the context.</w:t>
            </w:r>
          </w:p>
          <w:p w14:paraId="62BDBCDD" w14:textId="534A21F4" w:rsidR="00B17E8A" w:rsidRPr="00D51FA0" w:rsidRDefault="00B17E8A" w:rsidP="000060D8">
            <w:pPr>
              <w:contextualSpacing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51FA0">
              <w:rPr>
                <w:sz w:val="20"/>
                <w:szCs w:val="20"/>
              </w:rPr>
              <w:t>4</w:t>
            </w:r>
            <w:r w:rsidRPr="00D51FA0">
              <w:rPr>
                <w:sz w:val="20"/>
                <w:szCs w:val="20"/>
              </w:rPr>
              <w:t>NF–3 Apply place-value knowledge to known additive and multiplicative number facts (scaling facts by 100)</w:t>
            </w:r>
          </w:p>
        </w:tc>
        <w:tc>
          <w:tcPr>
            <w:tcW w:w="2208" w:type="dxa"/>
          </w:tcPr>
          <w:p w14:paraId="7DAC44B3" w14:textId="77777777" w:rsidR="00CA70DB" w:rsidRPr="00D51FA0" w:rsidRDefault="00B17E8A" w:rsidP="000060D8">
            <w:pPr>
              <w:contextualSpacing/>
              <w:rPr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5</w:t>
            </w:r>
            <w:r w:rsidRPr="00D51FA0">
              <w:rPr>
                <w:sz w:val="20"/>
                <w:szCs w:val="20"/>
              </w:rPr>
              <w:t>NF–1 Secure fluency in multiplication table facts, and corresponding division facts, through continued practice.</w:t>
            </w:r>
          </w:p>
          <w:p w14:paraId="2403452D" w14:textId="2873B19A" w:rsidR="00B17E8A" w:rsidRPr="00D51FA0" w:rsidRDefault="00374F5B" w:rsidP="000060D8">
            <w:pPr>
              <w:contextualSpacing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51FA0">
              <w:rPr>
                <w:sz w:val="20"/>
                <w:szCs w:val="20"/>
              </w:rPr>
              <w:t>5</w:t>
            </w:r>
            <w:r w:rsidRPr="00D51FA0">
              <w:rPr>
                <w:sz w:val="20"/>
                <w:szCs w:val="20"/>
              </w:rPr>
              <w:t>NF–2 Apply place-value knowledge to known additive and multiplicative number facts (scaling facts by 1 tenth or 1 hundredth).</w:t>
            </w:r>
          </w:p>
        </w:tc>
        <w:tc>
          <w:tcPr>
            <w:tcW w:w="2268" w:type="dxa"/>
          </w:tcPr>
          <w:p w14:paraId="2C818F7D" w14:textId="77777777" w:rsidR="00CA70DB" w:rsidRPr="00937430" w:rsidRDefault="00CA70DB" w:rsidP="000060D8">
            <w:pPr>
              <w:contextualSpacing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4E65A2" w:rsidRPr="004F6C92" w14:paraId="5ACCAA99" w14:textId="016A7479" w:rsidTr="00097CCE">
        <w:trPr>
          <w:trHeight w:val="1873"/>
        </w:trPr>
        <w:tc>
          <w:tcPr>
            <w:tcW w:w="1838" w:type="dxa"/>
          </w:tcPr>
          <w:p w14:paraId="17F02C77" w14:textId="2ACA5790" w:rsidR="004E65A2" w:rsidRPr="004F6C92" w:rsidRDefault="004E65A2" w:rsidP="000060D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Language Focus</w:t>
            </w:r>
          </w:p>
        </w:tc>
        <w:tc>
          <w:tcPr>
            <w:tcW w:w="2776" w:type="dxa"/>
            <w:gridSpan w:val="2"/>
          </w:tcPr>
          <w:p w14:paraId="7677878E" w14:textId="77777777" w:rsidR="008B3E65" w:rsidRPr="00FE39A4" w:rsidRDefault="004E65A2" w:rsidP="000060D8">
            <w:pPr>
              <w:contextualSpacing/>
              <w:rPr>
                <w:sz w:val="18"/>
                <w:szCs w:val="18"/>
              </w:rPr>
            </w:pPr>
            <w:r w:rsidRPr="004E65A2">
              <w:rPr>
                <w:sz w:val="20"/>
                <w:szCs w:val="20"/>
              </w:rPr>
              <w:t>U</w:t>
            </w:r>
            <w:r w:rsidRPr="004E65A2">
              <w:rPr>
                <w:sz w:val="20"/>
                <w:szCs w:val="20"/>
              </w:rPr>
              <w:t>se the language of parts and wholes to describe the relationship between the numbers</w:t>
            </w:r>
            <w:r>
              <w:rPr>
                <w:sz w:val="20"/>
                <w:szCs w:val="20"/>
              </w:rPr>
              <w:t xml:space="preserve">: </w:t>
            </w:r>
            <w:r w:rsidRPr="004E65A2">
              <w:rPr>
                <w:sz w:val="20"/>
                <w:szCs w:val="20"/>
              </w:rPr>
              <w:t xml:space="preserve"> </w:t>
            </w:r>
            <w:r w:rsidRPr="00FE39A4">
              <w:rPr>
                <w:i/>
                <w:iCs/>
                <w:sz w:val="18"/>
                <w:szCs w:val="18"/>
              </w:rPr>
              <w:t>“There are 6 flags. 4 are spotty and 2 are stripy.” “6 is the whole. 4 is a part. 2 is a part</w:t>
            </w:r>
            <w:r w:rsidR="00AB2A0A" w:rsidRPr="00FE39A4">
              <w:rPr>
                <w:i/>
                <w:iCs/>
                <w:sz w:val="18"/>
                <w:szCs w:val="18"/>
              </w:rPr>
              <w:t>”.</w:t>
            </w:r>
            <w:r w:rsidR="008B3E65" w:rsidRPr="00FE39A4">
              <w:rPr>
                <w:sz w:val="18"/>
                <w:szCs w:val="18"/>
              </w:rPr>
              <w:t xml:space="preserve"> </w:t>
            </w:r>
          </w:p>
          <w:p w14:paraId="5E0D9753" w14:textId="27E973B6" w:rsidR="004E65A2" w:rsidRPr="008B3E65" w:rsidRDefault="008B3E65" w:rsidP="000060D8">
            <w:pPr>
              <w:contextualSpacing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8B3E65">
              <w:rPr>
                <w:sz w:val="20"/>
                <w:szCs w:val="20"/>
              </w:rPr>
              <w:t xml:space="preserve">NF -1 </w:t>
            </w:r>
            <w:r w:rsidRPr="008B3E65">
              <w:rPr>
                <w:sz w:val="20"/>
                <w:szCs w:val="20"/>
              </w:rPr>
              <w:t xml:space="preserve">practise counting in two ways: counting the total number of objects using skip </w:t>
            </w:r>
            <w:proofErr w:type="gramStart"/>
            <w:r w:rsidRPr="008B3E65">
              <w:rPr>
                <w:sz w:val="20"/>
                <w:szCs w:val="20"/>
              </w:rPr>
              <w:t>counting, or</w:t>
            </w:r>
            <w:proofErr w:type="gramEnd"/>
            <w:r w:rsidRPr="008B3E65">
              <w:rPr>
                <w:sz w:val="20"/>
                <w:szCs w:val="20"/>
              </w:rPr>
              <w:t xml:space="preserve"> counting the number of repeated groups. This will prepare pupils for multiplication and division in year 2</w:t>
            </w:r>
            <w:r>
              <w:rPr>
                <w:sz w:val="20"/>
                <w:szCs w:val="20"/>
              </w:rPr>
              <w:t xml:space="preserve">: </w:t>
            </w:r>
            <w:r w:rsidRPr="00FE39A4">
              <w:rPr>
                <w:i/>
                <w:iCs/>
                <w:sz w:val="18"/>
                <w:szCs w:val="18"/>
              </w:rPr>
              <w:t>“Ten, twenty, thirty…” “1 group of 10, 2 groups of 10, 3 groups of 10…” In time, shortened to: “1 ten, 2 tens, 3 tens…”</w:t>
            </w:r>
          </w:p>
        </w:tc>
        <w:tc>
          <w:tcPr>
            <w:tcW w:w="1701" w:type="dxa"/>
          </w:tcPr>
          <w:p w14:paraId="6585AB51" w14:textId="77777777" w:rsidR="004E65A2" w:rsidRPr="00937430" w:rsidRDefault="004E65A2" w:rsidP="000060D8">
            <w:pPr>
              <w:contextualSpacing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044" w:type="dxa"/>
          </w:tcPr>
          <w:p w14:paraId="4D8B97B3" w14:textId="77777777" w:rsidR="004E65A2" w:rsidRPr="00937430" w:rsidRDefault="004E65A2" w:rsidP="000060D8">
            <w:pPr>
              <w:contextualSpacing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14:paraId="6C02F310" w14:textId="79690902" w:rsidR="004E65A2" w:rsidRPr="00937430" w:rsidRDefault="004E65A2" w:rsidP="000060D8">
            <w:pPr>
              <w:contextualSpacing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208" w:type="dxa"/>
          </w:tcPr>
          <w:p w14:paraId="483393FD" w14:textId="77777777" w:rsidR="004E65A2" w:rsidRPr="00937430" w:rsidRDefault="004E65A2" w:rsidP="000060D8">
            <w:pPr>
              <w:contextualSpacing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7DC13AEE" w14:textId="77777777" w:rsidR="004E65A2" w:rsidRPr="00937430" w:rsidRDefault="004E65A2" w:rsidP="000060D8">
            <w:pPr>
              <w:contextualSpacing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CA70DB" w:rsidRPr="004F6C92" w14:paraId="430D3A23" w14:textId="78FEBD7C" w:rsidTr="007554BF">
        <w:trPr>
          <w:trHeight w:val="58"/>
        </w:trPr>
        <w:tc>
          <w:tcPr>
            <w:tcW w:w="1838" w:type="dxa"/>
          </w:tcPr>
          <w:p w14:paraId="4F6370C8" w14:textId="77777777" w:rsidR="00CA70DB" w:rsidRPr="004F6C92" w:rsidRDefault="00CA70DB" w:rsidP="000060D8">
            <w:pPr>
              <w:rPr>
                <w:rFonts w:cstheme="minorHAnsi"/>
                <w:b/>
              </w:rPr>
            </w:pPr>
            <w:r w:rsidRPr="004F6C92">
              <w:rPr>
                <w:rFonts w:cstheme="minorHAnsi"/>
                <w:b/>
              </w:rPr>
              <w:t xml:space="preserve">Implementation </w:t>
            </w:r>
          </w:p>
          <w:p w14:paraId="5A39BBE3" w14:textId="77777777" w:rsidR="00CA70DB" w:rsidRPr="004F6C92" w:rsidRDefault="00CA70DB" w:rsidP="000060D8">
            <w:pPr>
              <w:rPr>
                <w:rFonts w:cstheme="minorHAnsi"/>
              </w:rPr>
            </w:pPr>
          </w:p>
          <w:p w14:paraId="64A08A0D" w14:textId="77777777" w:rsidR="00CA70DB" w:rsidRDefault="00CA70DB" w:rsidP="000060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Addition </w:t>
            </w:r>
          </w:p>
          <w:p w14:paraId="278B4767" w14:textId="05C4A953" w:rsidR="00CA70DB" w:rsidRPr="004F6C92" w:rsidRDefault="00CA70DB" w:rsidP="000060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and Subtraction (AS) </w:t>
            </w:r>
          </w:p>
        </w:tc>
        <w:tc>
          <w:tcPr>
            <w:tcW w:w="1358" w:type="dxa"/>
          </w:tcPr>
          <w:p w14:paraId="2705D261" w14:textId="77777777" w:rsidR="00CA70DB" w:rsidRDefault="007554BF" w:rsidP="000060D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Pre AS</w:t>
            </w:r>
            <w:proofErr w:type="gramEnd"/>
            <w:r>
              <w:rPr>
                <w:rFonts w:cstheme="minorHAnsi"/>
                <w:sz w:val="20"/>
                <w:szCs w:val="20"/>
              </w:rPr>
              <w:t>-1</w:t>
            </w:r>
          </w:p>
          <w:p w14:paraId="381EEFE2" w14:textId="77777777" w:rsidR="007554BF" w:rsidRDefault="007554BF" w:rsidP="000060D8">
            <w:pPr>
              <w:rPr>
                <w:sz w:val="20"/>
                <w:szCs w:val="20"/>
              </w:rPr>
            </w:pPr>
            <w:r w:rsidRPr="007554BF">
              <w:rPr>
                <w:sz w:val="20"/>
                <w:szCs w:val="20"/>
              </w:rPr>
              <w:t xml:space="preserve">Understand the cardinal value of number words, for example understanding that ‘four’ relates to 4 objects. Subitise for up to </w:t>
            </w:r>
            <w:proofErr w:type="spellStart"/>
            <w:r w:rsidRPr="007554BF">
              <w:rPr>
                <w:sz w:val="20"/>
                <w:szCs w:val="20"/>
              </w:rPr>
              <w:t>to</w:t>
            </w:r>
            <w:proofErr w:type="spellEnd"/>
            <w:r w:rsidRPr="007554BF">
              <w:rPr>
                <w:sz w:val="20"/>
                <w:szCs w:val="20"/>
              </w:rPr>
              <w:t xml:space="preserve"> 5 items. Automatically show a given number using fingers.</w:t>
            </w:r>
          </w:p>
          <w:p w14:paraId="4C9F1C0A" w14:textId="77777777" w:rsidR="007554BF" w:rsidRDefault="007554BF" w:rsidP="000060D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Pre AS</w:t>
            </w:r>
            <w:proofErr w:type="gramEnd"/>
            <w:r>
              <w:rPr>
                <w:rFonts w:cstheme="minorHAnsi"/>
                <w:sz w:val="20"/>
                <w:szCs w:val="20"/>
              </w:rPr>
              <w:t>-2</w:t>
            </w:r>
          </w:p>
          <w:p w14:paraId="1B5F1670" w14:textId="5CEEC06A" w:rsidR="007554BF" w:rsidRPr="007554BF" w:rsidRDefault="007554BF" w:rsidP="000060D8">
            <w:pPr>
              <w:rPr>
                <w:rFonts w:cstheme="minorHAnsi"/>
                <w:sz w:val="20"/>
                <w:szCs w:val="20"/>
              </w:rPr>
            </w:pPr>
            <w:r w:rsidRPr="007554BF">
              <w:rPr>
                <w:sz w:val="20"/>
                <w:szCs w:val="20"/>
              </w:rPr>
              <w:t xml:space="preserve">Devise and record number stories, using pictures, </w:t>
            </w:r>
            <w:proofErr w:type="gramStart"/>
            <w:r w:rsidRPr="007554BF">
              <w:rPr>
                <w:sz w:val="20"/>
                <w:szCs w:val="20"/>
              </w:rPr>
              <w:t>numbers</w:t>
            </w:r>
            <w:proofErr w:type="gramEnd"/>
            <w:r w:rsidRPr="007554BF">
              <w:rPr>
                <w:sz w:val="20"/>
                <w:szCs w:val="20"/>
              </w:rPr>
              <w:t xml:space="preserve"> and symbols (such as arrows).</w:t>
            </w:r>
          </w:p>
        </w:tc>
        <w:tc>
          <w:tcPr>
            <w:tcW w:w="1418" w:type="dxa"/>
          </w:tcPr>
          <w:p w14:paraId="408E4A76" w14:textId="7D1B09B8" w:rsidR="00CA70DB" w:rsidRPr="00D51FA0" w:rsidRDefault="00937430" w:rsidP="000060D8">
            <w:pPr>
              <w:rPr>
                <w:rFonts w:cstheme="minorHAnsi"/>
                <w:sz w:val="20"/>
                <w:szCs w:val="20"/>
              </w:rPr>
            </w:pPr>
            <w:r w:rsidRPr="00D51FA0">
              <w:rPr>
                <w:rFonts w:cstheme="minorHAnsi"/>
                <w:sz w:val="20"/>
                <w:szCs w:val="20"/>
              </w:rPr>
              <w:t>1</w:t>
            </w:r>
            <w:r w:rsidR="005B2E31" w:rsidRPr="00D51FA0">
              <w:rPr>
                <w:rFonts w:cstheme="minorHAnsi"/>
                <w:sz w:val="20"/>
                <w:szCs w:val="20"/>
              </w:rPr>
              <w:t>AS–1 Compose numbers to 10 from 2 parts, and partition numbers to 10 into parts, including recognising odd and even numbers.</w:t>
            </w:r>
          </w:p>
          <w:p w14:paraId="42052BEA" w14:textId="43B78246" w:rsidR="005B2E31" w:rsidRPr="00D51FA0" w:rsidRDefault="005B2E31" w:rsidP="000060D8">
            <w:pPr>
              <w:rPr>
                <w:rFonts w:cstheme="minorHAnsi"/>
                <w:sz w:val="20"/>
                <w:szCs w:val="20"/>
              </w:rPr>
            </w:pPr>
            <w:r w:rsidRPr="00D51FA0">
              <w:rPr>
                <w:rFonts w:cstheme="minorHAnsi"/>
                <w:sz w:val="20"/>
                <w:szCs w:val="20"/>
              </w:rPr>
              <w:t xml:space="preserve">1AS–2 Read, </w:t>
            </w:r>
            <w:proofErr w:type="gramStart"/>
            <w:r w:rsidRPr="00D51FA0">
              <w:rPr>
                <w:rFonts w:cstheme="minorHAnsi"/>
                <w:sz w:val="20"/>
                <w:szCs w:val="20"/>
              </w:rPr>
              <w:t>write</w:t>
            </w:r>
            <w:proofErr w:type="gramEnd"/>
            <w:r w:rsidRPr="00D51FA0">
              <w:rPr>
                <w:rFonts w:cstheme="minorHAnsi"/>
                <w:sz w:val="20"/>
                <w:szCs w:val="20"/>
              </w:rPr>
              <w:t xml:space="preserve"> and interpret equations containing addition ( ), subtraction ( ) and equals ( ) symbols, and relate additive expressions and equations to real-life contexts.</w:t>
            </w:r>
          </w:p>
        </w:tc>
        <w:tc>
          <w:tcPr>
            <w:tcW w:w="1701" w:type="dxa"/>
          </w:tcPr>
          <w:p w14:paraId="5EAACC31" w14:textId="77777777" w:rsidR="00CA70DB" w:rsidRPr="00D51FA0" w:rsidRDefault="00374F5B" w:rsidP="000060D8">
            <w:pPr>
              <w:rPr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2</w:t>
            </w:r>
            <w:r w:rsidRPr="00D51FA0">
              <w:rPr>
                <w:sz w:val="20"/>
                <w:szCs w:val="20"/>
              </w:rPr>
              <w:t>AS–1 Add and subtract across 10</w:t>
            </w:r>
            <w:r w:rsidRPr="00D51FA0">
              <w:rPr>
                <w:sz w:val="20"/>
                <w:szCs w:val="20"/>
              </w:rPr>
              <w:t>.</w:t>
            </w:r>
          </w:p>
          <w:p w14:paraId="3EB0D584" w14:textId="77777777" w:rsidR="00374F5B" w:rsidRPr="00D51FA0" w:rsidRDefault="00374F5B" w:rsidP="000060D8">
            <w:pPr>
              <w:rPr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2</w:t>
            </w:r>
            <w:r w:rsidRPr="00D51FA0">
              <w:rPr>
                <w:sz w:val="20"/>
                <w:szCs w:val="20"/>
              </w:rPr>
              <w:t>AS–2 Recognise the subtraction structure of ‘difference’ and answer questions of the form, “How many more…?”</w:t>
            </w:r>
          </w:p>
          <w:p w14:paraId="258D7F7D" w14:textId="77777777" w:rsidR="00374F5B" w:rsidRPr="00D51FA0" w:rsidRDefault="00374F5B" w:rsidP="000060D8">
            <w:pPr>
              <w:rPr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2AS–3 Add and subtract within 100 by applying related one-digit addition and subtraction facts: add and subtract only ones or only tens to/from a two</w:t>
            </w:r>
            <w:r w:rsidRPr="00D51FA0">
              <w:rPr>
                <w:sz w:val="20"/>
                <w:szCs w:val="20"/>
              </w:rPr>
              <w:t>digit number.</w:t>
            </w:r>
          </w:p>
          <w:p w14:paraId="262FA8BE" w14:textId="6C476E56" w:rsidR="00374F5B" w:rsidRPr="00D51FA0" w:rsidRDefault="00374F5B" w:rsidP="000060D8">
            <w:pPr>
              <w:rPr>
                <w:rFonts w:cstheme="minorHAnsi"/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2</w:t>
            </w:r>
            <w:r w:rsidRPr="00D51FA0">
              <w:rPr>
                <w:sz w:val="20"/>
                <w:szCs w:val="20"/>
              </w:rPr>
              <w:t>AS–4 Add and subtract within 100 by applying related one-digit addition and subtraction facts: add and subtract any 2 two</w:t>
            </w:r>
            <w:r w:rsidRPr="00D51FA0">
              <w:rPr>
                <w:sz w:val="20"/>
                <w:szCs w:val="20"/>
              </w:rPr>
              <w:t>digit numbers.</w:t>
            </w:r>
          </w:p>
        </w:tc>
        <w:tc>
          <w:tcPr>
            <w:tcW w:w="2044" w:type="dxa"/>
          </w:tcPr>
          <w:p w14:paraId="572D2DDC" w14:textId="77777777" w:rsidR="00CA70DB" w:rsidRPr="00D51FA0" w:rsidRDefault="00374F5B" w:rsidP="000060D8">
            <w:pPr>
              <w:rPr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3</w:t>
            </w:r>
            <w:r w:rsidRPr="00D51FA0">
              <w:rPr>
                <w:sz w:val="20"/>
                <w:szCs w:val="20"/>
              </w:rPr>
              <w:t>AS–1 Calculate complements to 100.</w:t>
            </w:r>
          </w:p>
          <w:p w14:paraId="511C02AF" w14:textId="77777777" w:rsidR="00374F5B" w:rsidRPr="00D51FA0" w:rsidRDefault="00374F5B" w:rsidP="000060D8">
            <w:pPr>
              <w:rPr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3</w:t>
            </w:r>
            <w:r w:rsidRPr="00D51FA0">
              <w:rPr>
                <w:sz w:val="20"/>
                <w:szCs w:val="20"/>
              </w:rPr>
              <w:t>AS–2 Add and subtract up to three-digit numbers using columnar methods</w:t>
            </w:r>
            <w:r w:rsidRPr="00D51FA0">
              <w:rPr>
                <w:sz w:val="20"/>
                <w:szCs w:val="20"/>
              </w:rPr>
              <w:t>.</w:t>
            </w:r>
          </w:p>
          <w:p w14:paraId="74E6B052" w14:textId="2465A657" w:rsidR="00374F5B" w:rsidRPr="00D51FA0" w:rsidRDefault="00374F5B" w:rsidP="000060D8">
            <w:pPr>
              <w:rPr>
                <w:rFonts w:cstheme="minorHAnsi"/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3</w:t>
            </w:r>
            <w:r w:rsidRPr="00D51FA0">
              <w:rPr>
                <w:sz w:val="20"/>
                <w:szCs w:val="20"/>
              </w:rPr>
              <w:t xml:space="preserve">AS–3 Manipulate the additive relationship: Understand the inverse relationship between addition and subtraction, and how both relate to the part–part–whole structure. Understand and use the commutative property of </w:t>
            </w:r>
            <w:proofErr w:type="gramStart"/>
            <w:r w:rsidRPr="00D51FA0">
              <w:rPr>
                <w:sz w:val="20"/>
                <w:szCs w:val="20"/>
              </w:rPr>
              <w:t>addition, and</w:t>
            </w:r>
            <w:proofErr w:type="gramEnd"/>
            <w:r w:rsidRPr="00D51FA0">
              <w:rPr>
                <w:sz w:val="20"/>
                <w:szCs w:val="20"/>
              </w:rPr>
              <w:t xml:space="preserve"> understand the related property for subtraction.</w:t>
            </w:r>
          </w:p>
        </w:tc>
        <w:tc>
          <w:tcPr>
            <w:tcW w:w="1701" w:type="dxa"/>
          </w:tcPr>
          <w:p w14:paraId="5FB83628" w14:textId="7F477F2C" w:rsidR="00CA70DB" w:rsidRPr="00D51FA0" w:rsidRDefault="00CA70DB" w:rsidP="000060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8" w:type="dxa"/>
          </w:tcPr>
          <w:p w14:paraId="39027CF7" w14:textId="77777777" w:rsidR="00CA70DB" w:rsidRPr="00D51FA0" w:rsidRDefault="00CA70DB" w:rsidP="000060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76416D" w14:textId="77777777" w:rsidR="00CA70DB" w:rsidRPr="00D51FA0" w:rsidRDefault="00374F5B" w:rsidP="000060D8">
            <w:pPr>
              <w:rPr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6</w:t>
            </w:r>
            <w:r w:rsidRPr="00D51FA0">
              <w:rPr>
                <w:sz w:val="20"/>
                <w:szCs w:val="20"/>
              </w:rPr>
              <w:t xml:space="preserve">AS/MD–1 Understand that 2 numbers can be related additively or </w:t>
            </w:r>
            <w:proofErr w:type="gramStart"/>
            <w:r w:rsidRPr="00D51FA0">
              <w:rPr>
                <w:sz w:val="20"/>
                <w:szCs w:val="20"/>
              </w:rPr>
              <w:t>multiplicatively, and</w:t>
            </w:r>
            <w:proofErr w:type="gramEnd"/>
            <w:r w:rsidRPr="00D51FA0">
              <w:rPr>
                <w:sz w:val="20"/>
                <w:szCs w:val="20"/>
              </w:rPr>
              <w:t xml:space="preserve"> quantify additive and multiplicative relationships (multiplicative relationships restricted to multiplication by a whole number).</w:t>
            </w:r>
          </w:p>
          <w:p w14:paraId="3FB20C8D" w14:textId="77777777" w:rsidR="003B5D93" w:rsidRPr="00D51FA0" w:rsidRDefault="003B5D93" w:rsidP="000060D8">
            <w:pPr>
              <w:rPr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6</w:t>
            </w:r>
            <w:r w:rsidRPr="00D51FA0">
              <w:rPr>
                <w:sz w:val="20"/>
                <w:szCs w:val="20"/>
              </w:rPr>
              <w:t>AS/MD–2 Use a given additive or multiplicative calculation to derive or complete a related calculation, using arithmetic properties, inverse relationships, and place-value understanding.</w:t>
            </w:r>
          </w:p>
          <w:p w14:paraId="73B8CF2D" w14:textId="77777777" w:rsidR="003B5D93" w:rsidRPr="00D51FA0" w:rsidRDefault="003B5D93" w:rsidP="000060D8">
            <w:pPr>
              <w:rPr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6</w:t>
            </w:r>
            <w:r w:rsidRPr="00D51FA0">
              <w:rPr>
                <w:sz w:val="20"/>
                <w:szCs w:val="20"/>
              </w:rPr>
              <w:t>AS/MD–3 Solve problems involving ratio relationships.</w:t>
            </w:r>
          </w:p>
          <w:p w14:paraId="2F80E0CE" w14:textId="6DD78A80" w:rsidR="003B5D93" w:rsidRPr="00D51FA0" w:rsidRDefault="003B5D93" w:rsidP="000060D8">
            <w:pPr>
              <w:rPr>
                <w:rFonts w:cstheme="minorHAnsi"/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6</w:t>
            </w:r>
            <w:r w:rsidRPr="00D51FA0">
              <w:rPr>
                <w:sz w:val="20"/>
                <w:szCs w:val="20"/>
              </w:rPr>
              <w:t>AS/MD–4 Solve problems with 2 unknowns.</w:t>
            </w:r>
          </w:p>
        </w:tc>
      </w:tr>
      <w:tr w:rsidR="004E65A2" w:rsidRPr="004F6C92" w14:paraId="31DC909A" w14:textId="7E3D06D7" w:rsidTr="00892C48">
        <w:tc>
          <w:tcPr>
            <w:tcW w:w="1838" w:type="dxa"/>
          </w:tcPr>
          <w:p w14:paraId="41C8F396" w14:textId="3AE3ED5B" w:rsidR="004E65A2" w:rsidRPr="004F6C92" w:rsidRDefault="004E65A2" w:rsidP="001604B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Language Focus</w:t>
            </w:r>
          </w:p>
        </w:tc>
        <w:tc>
          <w:tcPr>
            <w:tcW w:w="2776" w:type="dxa"/>
            <w:gridSpan w:val="2"/>
          </w:tcPr>
          <w:p w14:paraId="4EE93523" w14:textId="661E5487" w:rsidR="00AB2A0A" w:rsidRPr="00FE39A4" w:rsidRDefault="00AB2A0A" w:rsidP="00AB2A0A">
            <w:pPr>
              <w:rPr>
                <w:i/>
                <w:iCs/>
                <w:sz w:val="18"/>
                <w:szCs w:val="18"/>
              </w:rPr>
            </w:pPr>
            <w:r>
              <w:rPr>
                <w:sz w:val="20"/>
                <w:szCs w:val="20"/>
              </w:rPr>
              <w:t>U</w:t>
            </w:r>
            <w:r w:rsidRPr="00AB2A0A">
              <w:rPr>
                <w:sz w:val="20"/>
                <w:szCs w:val="20"/>
              </w:rPr>
              <w:t>se precise language to describe what each number in the expression or equation represents</w:t>
            </w:r>
            <w:r>
              <w:rPr>
                <w:sz w:val="20"/>
                <w:szCs w:val="20"/>
              </w:rPr>
              <w:t xml:space="preserve">: </w:t>
            </w:r>
            <w:r w:rsidRPr="00FE39A4">
              <w:rPr>
                <w:i/>
                <w:iCs/>
                <w:sz w:val="18"/>
                <w:szCs w:val="18"/>
              </w:rPr>
              <w:t>“There are 5 flowers in one bunch. There are 2 flowers in the other bunch. There are 7</w:t>
            </w:r>
            <w:r w:rsidR="00FE39A4" w:rsidRPr="00FE39A4">
              <w:rPr>
                <w:i/>
                <w:iCs/>
                <w:sz w:val="18"/>
                <w:szCs w:val="18"/>
              </w:rPr>
              <w:t xml:space="preserve"> </w:t>
            </w:r>
            <w:r w:rsidRPr="00FE39A4">
              <w:rPr>
                <w:i/>
                <w:iCs/>
                <w:sz w:val="18"/>
                <w:szCs w:val="18"/>
              </w:rPr>
              <w:t>flowers altogether.”</w:t>
            </w:r>
            <w:r w:rsidR="00FE39A4" w:rsidRPr="00FE39A4">
              <w:rPr>
                <w:i/>
                <w:iCs/>
                <w:sz w:val="18"/>
                <w:szCs w:val="18"/>
              </w:rPr>
              <w:t xml:space="preserve"> </w:t>
            </w:r>
            <w:r w:rsidRPr="00FE39A4">
              <w:rPr>
                <w:i/>
                <w:iCs/>
                <w:sz w:val="18"/>
                <w:szCs w:val="18"/>
              </w:rPr>
              <w:t>“We can write this as 5 plus 2 is equal to 7.”</w:t>
            </w:r>
          </w:p>
          <w:p w14:paraId="548F3676" w14:textId="56D0E38F" w:rsidR="004E65A2" w:rsidRPr="00AB2A0A" w:rsidRDefault="00AB2A0A" w:rsidP="00FE39A4">
            <w:pPr>
              <w:rPr>
                <w:rFonts w:cstheme="minorHAnsi"/>
                <w:sz w:val="20"/>
                <w:szCs w:val="20"/>
              </w:rPr>
            </w:pPr>
            <w:r w:rsidRPr="00FE39A4">
              <w:rPr>
                <w:i/>
                <w:iCs/>
                <w:sz w:val="18"/>
                <w:szCs w:val="18"/>
              </w:rPr>
              <w:t>“The 5 represents the number of flowers in 1 bunch.“</w:t>
            </w:r>
            <w:r w:rsidR="00FE39A4" w:rsidRPr="00FE39A4">
              <w:rPr>
                <w:i/>
                <w:iCs/>
                <w:sz w:val="18"/>
                <w:szCs w:val="18"/>
              </w:rPr>
              <w:t xml:space="preserve"> </w:t>
            </w:r>
            <w:r w:rsidRPr="00FE39A4">
              <w:rPr>
                <w:i/>
                <w:iCs/>
                <w:sz w:val="18"/>
                <w:szCs w:val="18"/>
              </w:rPr>
              <w:t>“The 2 represents the number of flowers in the other bunch.”</w:t>
            </w:r>
            <w:r w:rsidR="00FE39A4">
              <w:rPr>
                <w:i/>
                <w:iCs/>
                <w:sz w:val="18"/>
                <w:szCs w:val="18"/>
              </w:rPr>
              <w:t xml:space="preserve"> </w:t>
            </w:r>
            <w:r w:rsidRPr="00FE39A4">
              <w:rPr>
                <w:i/>
                <w:iCs/>
                <w:sz w:val="18"/>
                <w:szCs w:val="18"/>
              </w:rPr>
              <w:t>“The 7 represents the total number of flowers.”</w:t>
            </w:r>
            <w:r w:rsidR="00FE39A4">
              <w:rPr>
                <w:i/>
                <w:iCs/>
                <w:sz w:val="20"/>
                <w:szCs w:val="20"/>
              </w:rPr>
              <w:t xml:space="preserve"> </w:t>
            </w:r>
            <w:r w:rsidR="00FE39A4" w:rsidRPr="00FE39A4">
              <w:rPr>
                <w:i/>
                <w:iCs/>
                <w:sz w:val="18"/>
                <w:szCs w:val="18"/>
              </w:rPr>
              <w:t>“There are 6 children altogether. 2 children are wearing coats. 4 children are not wearing coats.” “We can write this as 6 minus 2 is equal to 4.” “The 6 represents the total number of children.” “The 2 represents the number of children that are wearing coats.” “The 4 represents the number of children that are not wearing coats.”</w:t>
            </w:r>
          </w:p>
        </w:tc>
        <w:tc>
          <w:tcPr>
            <w:tcW w:w="1701" w:type="dxa"/>
          </w:tcPr>
          <w:p w14:paraId="1C4013F0" w14:textId="77777777" w:rsidR="004E65A2" w:rsidRPr="00937430" w:rsidRDefault="004E65A2" w:rsidP="000060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4" w:type="dxa"/>
          </w:tcPr>
          <w:p w14:paraId="1A23BB3C" w14:textId="77777777" w:rsidR="004E65A2" w:rsidRPr="00937430" w:rsidRDefault="004E65A2" w:rsidP="000060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3C554E" w14:textId="51072503" w:rsidR="004E65A2" w:rsidRPr="00937430" w:rsidRDefault="004E65A2" w:rsidP="000060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8" w:type="dxa"/>
          </w:tcPr>
          <w:p w14:paraId="53A133BA" w14:textId="77777777" w:rsidR="004E65A2" w:rsidRPr="00937430" w:rsidRDefault="004E65A2" w:rsidP="000060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4A4EB8" w14:textId="77777777" w:rsidR="004E65A2" w:rsidRPr="00937430" w:rsidRDefault="004E65A2" w:rsidP="000060D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146E" w:rsidRPr="004F6C92" w14:paraId="5933B672" w14:textId="3FBAD51E" w:rsidTr="007554BF">
        <w:tc>
          <w:tcPr>
            <w:tcW w:w="1838" w:type="dxa"/>
          </w:tcPr>
          <w:p w14:paraId="1CB9EE18" w14:textId="77777777" w:rsidR="005B146E" w:rsidRPr="004F6C92" w:rsidRDefault="005B146E" w:rsidP="005B146E">
            <w:pPr>
              <w:rPr>
                <w:rFonts w:cstheme="minorHAnsi"/>
                <w:b/>
              </w:rPr>
            </w:pPr>
            <w:r w:rsidRPr="004F6C92">
              <w:rPr>
                <w:rFonts w:cstheme="minorHAnsi"/>
                <w:b/>
              </w:rPr>
              <w:t>Implementation</w:t>
            </w:r>
          </w:p>
          <w:p w14:paraId="0D0B940D" w14:textId="77777777" w:rsidR="005B146E" w:rsidRPr="004F6C92" w:rsidRDefault="005B146E" w:rsidP="005B146E">
            <w:pPr>
              <w:rPr>
                <w:rFonts w:cstheme="minorHAnsi"/>
              </w:rPr>
            </w:pPr>
          </w:p>
          <w:p w14:paraId="21178C35" w14:textId="77777777" w:rsidR="005B146E" w:rsidRDefault="005B146E" w:rsidP="005B14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Multiplication </w:t>
            </w:r>
          </w:p>
          <w:p w14:paraId="249A291C" w14:textId="7DDCF7B3" w:rsidR="005B146E" w:rsidRPr="004F6C92" w:rsidRDefault="005B146E" w:rsidP="005B146E">
            <w:pPr>
              <w:rPr>
                <w:rFonts w:cstheme="minorHAnsi"/>
              </w:rPr>
            </w:pPr>
            <w:r>
              <w:rPr>
                <w:rFonts w:cstheme="minorHAnsi"/>
              </w:rPr>
              <w:t>and Division (MD)</w:t>
            </w:r>
          </w:p>
        </w:tc>
        <w:tc>
          <w:tcPr>
            <w:tcW w:w="1358" w:type="dxa"/>
          </w:tcPr>
          <w:p w14:paraId="3ABA8135" w14:textId="77777777" w:rsidR="005B146E" w:rsidRPr="00937430" w:rsidRDefault="005B146E" w:rsidP="005B14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96ACBF" w14:textId="591CA865" w:rsidR="005B146E" w:rsidRPr="00937430" w:rsidRDefault="005B146E" w:rsidP="005B14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74FEB0" w14:textId="77777777" w:rsidR="005B146E" w:rsidRPr="00330A2E" w:rsidRDefault="005B146E" w:rsidP="005B146E">
            <w:pPr>
              <w:rPr>
                <w:sz w:val="20"/>
                <w:szCs w:val="20"/>
              </w:rPr>
            </w:pPr>
            <w:r w:rsidRPr="00330A2E">
              <w:rPr>
                <w:sz w:val="20"/>
                <w:szCs w:val="20"/>
              </w:rPr>
              <w:t>2MD–1 Recognise repeated addition contexts, representing them with multiplication equations and calculating the product, within the 2, 5 and 10 multiplication tables.</w:t>
            </w:r>
          </w:p>
          <w:p w14:paraId="5DF01DBB" w14:textId="125B712B" w:rsidR="005B146E" w:rsidRPr="00330A2E" w:rsidRDefault="005B146E" w:rsidP="005B146E">
            <w:pPr>
              <w:rPr>
                <w:rFonts w:cstheme="minorHAnsi"/>
                <w:sz w:val="20"/>
                <w:szCs w:val="20"/>
              </w:rPr>
            </w:pPr>
            <w:r w:rsidRPr="00330A2E">
              <w:rPr>
                <w:sz w:val="20"/>
                <w:szCs w:val="20"/>
              </w:rPr>
              <w:t>2MD–2 Relate grouping problems where the number of groups is unknown to multiplication equations with a missing factor, and to division equations (</w:t>
            </w:r>
            <w:proofErr w:type="spellStart"/>
            <w:r w:rsidRPr="00330A2E">
              <w:rPr>
                <w:sz w:val="20"/>
                <w:szCs w:val="20"/>
              </w:rPr>
              <w:t>quotitive</w:t>
            </w:r>
            <w:proofErr w:type="spellEnd"/>
            <w:r w:rsidRPr="00330A2E">
              <w:rPr>
                <w:sz w:val="20"/>
                <w:szCs w:val="20"/>
              </w:rPr>
              <w:t xml:space="preserve"> division).</w:t>
            </w:r>
          </w:p>
        </w:tc>
        <w:tc>
          <w:tcPr>
            <w:tcW w:w="2044" w:type="dxa"/>
          </w:tcPr>
          <w:p w14:paraId="17C87EAE" w14:textId="58E2ABD7" w:rsidR="005B146E" w:rsidRPr="00330A2E" w:rsidRDefault="005B146E" w:rsidP="005B146E">
            <w:pPr>
              <w:rPr>
                <w:rFonts w:cstheme="minorHAnsi"/>
                <w:sz w:val="20"/>
                <w:szCs w:val="20"/>
              </w:rPr>
            </w:pPr>
            <w:r w:rsidRPr="00330A2E">
              <w:rPr>
                <w:sz w:val="20"/>
                <w:szCs w:val="20"/>
              </w:rPr>
              <w:t xml:space="preserve">3MD–1 Apply known multiplication and division facts to solve contextual problems with different structures, including </w:t>
            </w:r>
            <w:proofErr w:type="spellStart"/>
            <w:r w:rsidRPr="00330A2E">
              <w:rPr>
                <w:sz w:val="20"/>
                <w:szCs w:val="20"/>
              </w:rPr>
              <w:t>quotitive</w:t>
            </w:r>
            <w:proofErr w:type="spellEnd"/>
            <w:r w:rsidRPr="00330A2E">
              <w:rPr>
                <w:sz w:val="20"/>
                <w:szCs w:val="20"/>
              </w:rPr>
              <w:t xml:space="preserve"> and partitive division</w:t>
            </w:r>
          </w:p>
        </w:tc>
        <w:tc>
          <w:tcPr>
            <w:tcW w:w="1701" w:type="dxa"/>
          </w:tcPr>
          <w:p w14:paraId="28CF338D" w14:textId="77777777" w:rsidR="005B146E" w:rsidRPr="00330A2E" w:rsidRDefault="005B146E" w:rsidP="005B146E">
            <w:pPr>
              <w:rPr>
                <w:sz w:val="20"/>
                <w:szCs w:val="20"/>
              </w:rPr>
            </w:pPr>
            <w:r w:rsidRPr="00330A2E">
              <w:rPr>
                <w:sz w:val="20"/>
                <w:szCs w:val="20"/>
              </w:rPr>
              <w:t>4MD–1 Multiply and divide whole numbers by 10 and 100 (keeping to whole number quotients); understand this as equivalent to making a number 10 or 100 times the size.</w:t>
            </w:r>
          </w:p>
          <w:p w14:paraId="2FF961EB" w14:textId="77777777" w:rsidR="005B146E" w:rsidRPr="00330A2E" w:rsidRDefault="005B146E" w:rsidP="005B146E">
            <w:pPr>
              <w:rPr>
                <w:sz w:val="20"/>
                <w:szCs w:val="20"/>
              </w:rPr>
            </w:pPr>
            <w:r w:rsidRPr="00330A2E">
              <w:rPr>
                <w:sz w:val="20"/>
                <w:szCs w:val="20"/>
              </w:rPr>
              <w:t xml:space="preserve">4MD–2 Manipulate multiplication and division </w:t>
            </w:r>
            <w:proofErr w:type="gramStart"/>
            <w:r w:rsidRPr="00330A2E">
              <w:rPr>
                <w:sz w:val="20"/>
                <w:szCs w:val="20"/>
              </w:rPr>
              <w:t>equations, and</w:t>
            </w:r>
            <w:proofErr w:type="gramEnd"/>
            <w:r w:rsidRPr="00330A2E">
              <w:rPr>
                <w:sz w:val="20"/>
                <w:szCs w:val="20"/>
              </w:rPr>
              <w:t xml:space="preserve"> understand and apply the commutative property of multiplication.</w:t>
            </w:r>
          </w:p>
          <w:p w14:paraId="7D8EA56E" w14:textId="0D2E48F8" w:rsidR="005B146E" w:rsidRPr="00330A2E" w:rsidRDefault="005B146E" w:rsidP="005B146E">
            <w:pPr>
              <w:rPr>
                <w:rFonts w:cstheme="minorHAnsi"/>
                <w:sz w:val="20"/>
                <w:szCs w:val="20"/>
              </w:rPr>
            </w:pPr>
            <w:r w:rsidRPr="00330A2E">
              <w:rPr>
                <w:sz w:val="20"/>
                <w:szCs w:val="20"/>
              </w:rPr>
              <w:t>4MD–3 Understand and apply the distributive property of multiplication.</w:t>
            </w:r>
          </w:p>
        </w:tc>
        <w:tc>
          <w:tcPr>
            <w:tcW w:w="2208" w:type="dxa"/>
          </w:tcPr>
          <w:p w14:paraId="5B415894" w14:textId="77777777" w:rsidR="005B146E" w:rsidRPr="00330A2E" w:rsidRDefault="00F77A43" w:rsidP="005B146E">
            <w:pPr>
              <w:rPr>
                <w:sz w:val="20"/>
                <w:szCs w:val="20"/>
              </w:rPr>
            </w:pPr>
            <w:r w:rsidRPr="00330A2E">
              <w:rPr>
                <w:sz w:val="20"/>
                <w:szCs w:val="20"/>
              </w:rPr>
              <w:t>5</w:t>
            </w:r>
            <w:r w:rsidRPr="00330A2E">
              <w:rPr>
                <w:sz w:val="20"/>
                <w:szCs w:val="20"/>
              </w:rPr>
              <w:t>MD–1 Multiply and divide numbers by 10 and 100; understand this as equivalent to making a number 10 or 100 times the size, or 1 tenth or 1 hundredth times the size</w:t>
            </w:r>
            <w:r w:rsidRPr="00330A2E">
              <w:rPr>
                <w:sz w:val="20"/>
                <w:szCs w:val="20"/>
              </w:rPr>
              <w:t>.</w:t>
            </w:r>
          </w:p>
          <w:p w14:paraId="6B774647" w14:textId="77777777" w:rsidR="00F77A43" w:rsidRPr="00330A2E" w:rsidRDefault="00F77A43" w:rsidP="005B146E">
            <w:pPr>
              <w:rPr>
                <w:sz w:val="20"/>
                <w:szCs w:val="20"/>
              </w:rPr>
            </w:pPr>
            <w:r w:rsidRPr="00330A2E">
              <w:rPr>
                <w:sz w:val="20"/>
                <w:szCs w:val="20"/>
              </w:rPr>
              <w:t>5</w:t>
            </w:r>
            <w:r w:rsidRPr="00330A2E">
              <w:rPr>
                <w:sz w:val="20"/>
                <w:szCs w:val="20"/>
              </w:rPr>
              <w:t>MD–2 Find factors and multiples of positive whole numbers, including common factors and common multiples, and express a given number as a product of 2 or 3 factors.</w:t>
            </w:r>
          </w:p>
          <w:p w14:paraId="73B74EBF" w14:textId="77777777" w:rsidR="006E70F4" w:rsidRPr="00330A2E" w:rsidRDefault="006E70F4" w:rsidP="005B146E">
            <w:pPr>
              <w:rPr>
                <w:sz w:val="20"/>
                <w:szCs w:val="20"/>
              </w:rPr>
            </w:pPr>
            <w:r w:rsidRPr="00330A2E">
              <w:rPr>
                <w:sz w:val="20"/>
                <w:szCs w:val="20"/>
              </w:rPr>
              <w:t>5</w:t>
            </w:r>
            <w:r w:rsidRPr="00330A2E">
              <w:rPr>
                <w:sz w:val="20"/>
                <w:szCs w:val="20"/>
              </w:rPr>
              <w:t xml:space="preserve">MD–3 Multiply any whole number with up to 4 digits by </w:t>
            </w:r>
            <w:proofErr w:type="gramStart"/>
            <w:r w:rsidRPr="00330A2E">
              <w:rPr>
                <w:sz w:val="20"/>
                <w:szCs w:val="20"/>
              </w:rPr>
              <w:t>any one</w:t>
            </w:r>
            <w:proofErr w:type="gramEnd"/>
            <w:r w:rsidRPr="00330A2E">
              <w:rPr>
                <w:sz w:val="20"/>
                <w:szCs w:val="20"/>
              </w:rPr>
              <w:t>-digit number using a formal written method.</w:t>
            </w:r>
          </w:p>
          <w:p w14:paraId="646D5C61" w14:textId="4E2C32DE" w:rsidR="006E70F4" w:rsidRPr="00330A2E" w:rsidRDefault="006E70F4" w:rsidP="005B146E">
            <w:pPr>
              <w:rPr>
                <w:rFonts w:cstheme="minorHAnsi"/>
                <w:sz w:val="20"/>
                <w:szCs w:val="20"/>
              </w:rPr>
            </w:pPr>
            <w:r w:rsidRPr="00330A2E">
              <w:rPr>
                <w:sz w:val="20"/>
                <w:szCs w:val="20"/>
              </w:rPr>
              <w:t>5</w:t>
            </w:r>
            <w:r w:rsidRPr="00330A2E">
              <w:rPr>
                <w:sz w:val="20"/>
                <w:szCs w:val="20"/>
              </w:rPr>
              <w:t xml:space="preserve">MD–4 Divide a number with up to 4 digits by a one-digit number using a formal written </w:t>
            </w:r>
            <w:proofErr w:type="gramStart"/>
            <w:r w:rsidRPr="00330A2E">
              <w:rPr>
                <w:sz w:val="20"/>
                <w:szCs w:val="20"/>
              </w:rPr>
              <w:t>method, and</w:t>
            </w:r>
            <w:proofErr w:type="gramEnd"/>
            <w:r w:rsidRPr="00330A2E">
              <w:rPr>
                <w:sz w:val="20"/>
                <w:szCs w:val="20"/>
              </w:rPr>
              <w:t xml:space="preserve"> interpret remainders appropriately for the context.</w:t>
            </w:r>
          </w:p>
        </w:tc>
        <w:tc>
          <w:tcPr>
            <w:tcW w:w="2268" w:type="dxa"/>
          </w:tcPr>
          <w:p w14:paraId="527DD2F9" w14:textId="2A590047" w:rsidR="005B146E" w:rsidRPr="00330A2E" w:rsidRDefault="006E70F4" w:rsidP="005B146E">
            <w:pPr>
              <w:rPr>
                <w:rFonts w:cstheme="minorHAnsi"/>
                <w:sz w:val="20"/>
                <w:szCs w:val="20"/>
              </w:rPr>
            </w:pPr>
            <w:r w:rsidRPr="00330A2E">
              <w:rPr>
                <w:sz w:val="20"/>
                <w:szCs w:val="20"/>
              </w:rPr>
              <w:t>F</w:t>
            </w:r>
            <w:r w:rsidRPr="00330A2E">
              <w:rPr>
                <w:sz w:val="20"/>
                <w:szCs w:val="20"/>
              </w:rPr>
              <w:t>or year 6, MD ready-to</w:t>
            </w:r>
            <w:r w:rsidRPr="00330A2E">
              <w:rPr>
                <w:sz w:val="20"/>
                <w:szCs w:val="20"/>
              </w:rPr>
              <w:t>progress criteria are combined with AS ready</w:t>
            </w:r>
            <w:r w:rsidRPr="00330A2E">
              <w:rPr>
                <w:sz w:val="20"/>
                <w:szCs w:val="20"/>
              </w:rPr>
              <w:t>to-progress criteria (please see above).</w:t>
            </w:r>
          </w:p>
        </w:tc>
      </w:tr>
      <w:tr w:rsidR="005B146E" w:rsidRPr="004F6C92" w14:paraId="5CF65A79" w14:textId="40137D36" w:rsidTr="007554BF">
        <w:tc>
          <w:tcPr>
            <w:tcW w:w="1838" w:type="dxa"/>
          </w:tcPr>
          <w:p w14:paraId="5482C30D" w14:textId="3DF1353F" w:rsidR="005B146E" w:rsidRPr="004F6C92" w:rsidRDefault="001604BF" w:rsidP="005B146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Language Focus</w:t>
            </w:r>
          </w:p>
          <w:p w14:paraId="0E27B00A" w14:textId="77777777" w:rsidR="005B146E" w:rsidRPr="004F6C92" w:rsidRDefault="005B146E" w:rsidP="005B146E">
            <w:pPr>
              <w:rPr>
                <w:rFonts w:cstheme="minorHAnsi"/>
              </w:rPr>
            </w:pPr>
          </w:p>
        </w:tc>
        <w:tc>
          <w:tcPr>
            <w:tcW w:w="1358" w:type="dxa"/>
          </w:tcPr>
          <w:p w14:paraId="134A1F75" w14:textId="77777777" w:rsidR="005B146E" w:rsidRPr="00937430" w:rsidRDefault="005B146E" w:rsidP="005B146E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5B3203F" w14:textId="77777777" w:rsidR="005B146E" w:rsidRPr="00937430" w:rsidRDefault="005B146E" w:rsidP="005B146E">
            <w:pPr>
              <w:spacing w:before="100" w:beforeAutospacing="1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14:paraId="364F0B9C" w14:textId="77777777" w:rsidR="005B146E" w:rsidRPr="00937430" w:rsidRDefault="005B146E" w:rsidP="005B146E">
            <w:pPr>
              <w:spacing w:before="100" w:beforeAutospacing="1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044" w:type="dxa"/>
          </w:tcPr>
          <w:p w14:paraId="6F0ED6B7" w14:textId="77777777" w:rsidR="005B146E" w:rsidRPr="00937430" w:rsidRDefault="005B146E" w:rsidP="005B146E">
            <w:pPr>
              <w:spacing w:before="100" w:beforeAutospacing="1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14:paraId="46B769E4" w14:textId="01B099F4" w:rsidR="005B146E" w:rsidRPr="00937430" w:rsidRDefault="005B146E" w:rsidP="005B146E">
            <w:pPr>
              <w:numPr>
                <w:ilvl w:val="0"/>
                <w:numId w:val="14"/>
              </w:numPr>
              <w:spacing w:before="100" w:beforeAutospacing="1"/>
              <w:ind w:left="15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208" w:type="dxa"/>
          </w:tcPr>
          <w:p w14:paraId="0566318A" w14:textId="77777777" w:rsidR="005B146E" w:rsidRPr="00937430" w:rsidRDefault="005B146E" w:rsidP="005B146E">
            <w:pPr>
              <w:numPr>
                <w:ilvl w:val="0"/>
                <w:numId w:val="14"/>
              </w:numPr>
              <w:spacing w:before="100" w:beforeAutospacing="1"/>
              <w:ind w:left="15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3C872937" w14:textId="77777777" w:rsidR="005B146E" w:rsidRPr="00937430" w:rsidRDefault="005B146E" w:rsidP="005B146E">
            <w:pPr>
              <w:numPr>
                <w:ilvl w:val="0"/>
                <w:numId w:val="14"/>
              </w:numPr>
              <w:spacing w:before="100" w:beforeAutospacing="1"/>
              <w:ind w:left="15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5B146E" w:rsidRPr="004F6C92" w14:paraId="76196D0E" w14:textId="2844F1A8" w:rsidTr="007554BF">
        <w:tc>
          <w:tcPr>
            <w:tcW w:w="1838" w:type="dxa"/>
          </w:tcPr>
          <w:p w14:paraId="4B134621" w14:textId="77777777" w:rsidR="005B146E" w:rsidRPr="004F6C92" w:rsidRDefault="005B146E" w:rsidP="005B146E">
            <w:pPr>
              <w:rPr>
                <w:rFonts w:cstheme="minorHAnsi"/>
                <w:b/>
              </w:rPr>
            </w:pPr>
            <w:bookmarkStart w:id="1" w:name="_Hlk77755762"/>
            <w:r w:rsidRPr="004F6C92">
              <w:rPr>
                <w:rFonts w:cstheme="minorHAnsi"/>
                <w:b/>
              </w:rPr>
              <w:t>Implementation</w:t>
            </w:r>
          </w:p>
          <w:p w14:paraId="2A467EFD" w14:textId="58B272E7" w:rsidR="005B146E" w:rsidRPr="002A7905" w:rsidRDefault="005B146E" w:rsidP="005B146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Fractions (F)</w:t>
            </w:r>
          </w:p>
        </w:tc>
        <w:tc>
          <w:tcPr>
            <w:tcW w:w="1358" w:type="dxa"/>
          </w:tcPr>
          <w:p w14:paraId="6D826CAD" w14:textId="77777777" w:rsidR="005B146E" w:rsidRPr="00937430" w:rsidRDefault="005B146E" w:rsidP="005B146E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FC2CB35" w14:textId="77777777" w:rsidR="005B146E" w:rsidRPr="00937430" w:rsidRDefault="005B146E" w:rsidP="005B146E">
            <w:pPr>
              <w:spacing w:before="100" w:beforeAutospacing="1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14:paraId="089BF03A" w14:textId="77777777" w:rsidR="005B146E" w:rsidRPr="00937430" w:rsidRDefault="005B146E" w:rsidP="005B146E">
            <w:pPr>
              <w:spacing w:before="100" w:beforeAutospacing="1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044" w:type="dxa"/>
          </w:tcPr>
          <w:p w14:paraId="75C8C64B" w14:textId="77777777" w:rsidR="00A31606" w:rsidRPr="00D51FA0" w:rsidRDefault="00A31606" w:rsidP="00A31606">
            <w:pPr>
              <w:pStyle w:val="NoSpacing"/>
              <w:rPr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3</w:t>
            </w:r>
            <w:r w:rsidRPr="00D51FA0">
              <w:rPr>
                <w:sz w:val="20"/>
                <w:szCs w:val="20"/>
              </w:rPr>
              <w:t>F–1 Interpret and write proper fractions to represent 1 or several parts of a whole that is divided into equal parts</w:t>
            </w:r>
            <w:r w:rsidRPr="00D51FA0">
              <w:rPr>
                <w:sz w:val="20"/>
                <w:szCs w:val="20"/>
              </w:rPr>
              <w:t xml:space="preserve">. </w:t>
            </w:r>
          </w:p>
          <w:p w14:paraId="6000C0C4" w14:textId="77777777" w:rsidR="00A31606" w:rsidRPr="00D51FA0" w:rsidRDefault="00A31606" w:rsidP="00A31606">
            <w:pPr>
              <w:pStyle w:val="NoSpacing"/>
              <w:rPr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3</w:t>
            </w:r>
            <w:r w:rsidRPr="00D51FA0">
              <w:rPr>
                <w:sz w:val="20"/>
                <w:szCs w:val="20"/>
              </w:rPr>
              <w:t>F–2 Find unit fractions of quantities using known division facts (multiplication tables fluency).</w:t>
            </w:r>
          </w:p>
          <w:p w14:paraId="6946EBB4" w14:textId="77777777" w:rsidR="00A31606" w:rsidRPr="00D51FA0" w:rsidRDefault="00A31606" w:rsidP="00A31606">
            <w:pPr>
              <w:pStyle w:val="NoSpacing"/>
              <w:rPr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3F–3 Reason about the location of any fraction within 1 in the linear number system</w:t>
            </w:r>
            <w:r w:rsidRPr="00D51FA0">
              <w:rPr>
                <w:sz w:val="20"/>
                <w:szCs w:val="20"/>
              </w:rPr>
              <w:t>.</w:t>
            </w:r>
          </w:p>
          <w:p w14:paraId="495D0601" w14:textId="3265AA75" w:rsidR="00A31606" w:rsidRPr="00D51FA0" w:rsidRDefault="00A31606" w:rsidP="00A31606">
            <w:pPr>
              <w:pStyle w:val="NoSpacing"/>
              <w:rPr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3F–4 Add and subtract fractions with the same denominator, within 1.</w:t>
            </w:r>
          </w:p>
        </w:tc>
        <w:tc>
          <w:tcPr>
            <w:tcW w:w="1701" w:type="dxa"/>
          </w:tcPr>
          <w:p w14:paraId="3766F594" w14:textId="77777777" w:rsidR="005B146E" w:rsidRPr="00D51FA0" w:rsidRDefault="00A31606" w:rsidP="00A31606">
            <w:pPr>
              <w:pStyle w:val="NoSpacing"/>
              <w:rPr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4</w:t>
            </w:r>
            <w:r w:rsidRPr="00D51FA0">
              <w:rPr>
                <w:sz w:val="20"/>
                <w:szCs w:val="20"/>
              </w:rPr>
              <w:t>F–1 Reason about the location of mixed numbers in the linear number system.</w:t>
            </w:r>
          </w:p>
          <w:p w14:paraId="0293509F" w14:textId="77777777" w:rsidR="00A31606" w:rsidRPr="00D51FA0" w:rsidRDefault="00A31606" w:rsidP="00A31606">
            <w:pPr>
              <w:pStyle w:val="NoSpacing"/>
              <w:rPr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4</w:t>
            </w:r>
            <w:r w:rsidRPr="00D51FA0">
              <w:rPr>
                <w:sz w:val="20"/>
                <w:szCs w:val="20"/>
              </w:rPr>
              <w:t>F–2 Convert mixed numbers to improper fractions and vice versa.</w:t>
            </w:r>
          </w:p>
          <w:p w14:paraId="77F7893A" w14:textId="761CC5EB" w:rsidR="00A31606" w:rsidRPr="00D51FA0" w:rsidRDefault="00A31606" w:rsidP="00A31606">
            <w:pPr>
              <w:pStyle w:val="NoSpacing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51FA0">
              <w:rPr>
                <w:sz w:val="20"/>
                <w:szCs w:val="20"/>
              </w:rPr>
              <w:t>4</w:t>
            </w:r>
            <w:r w:rsidRPr="00D51FA0">
              <w:rPr>
                <w:sz w:val="20"/>
                <w:szCs w:val="20"/>
              </w:rPr>
              <w:t>F–3 Add and subtract improper and mixed fractions with the same denominator, including bridging whole numbers.</w:t>
            </w:r>
          </w:p>
        </w:tc>
        <w:tc>
          <w:tcPr>
            <w:tcW w:w="2208" w:type="dxa"/>
          </w:tcPr>
          <w:p w14:paraId="219F8EDB" w14:textId="0138198A" w:rsidR="005B146E" w:rsidRPr="00D51FA0" w:rsidRDefault="00A31606" w:rsidP="00A31606">
            <w:pPr>
              <w:pStyle w:val="NoSpacing"/>
              <w:rPr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5F–1 Find non-unit fractions of quantities</w:t>
            </w:r>
            <w:r w:rsidRPr="00D51FA0">
              <w:rPr>
                <w:sz w:val="20"/>
                <w:szCs w:val="20"/>
              </w:rPr>
              <w:t>.</w:t>
            </w:r>
          </w:p>
          <w:p w14:paraId="60387C87" w14:textId="0D2529B0" w:rsidR="00A31606" w:rsidRPr="00D51FA0" w:rsidRDefault="00C91B60" w:rsidP="00A31606">
            <w:pPr>
              <w:pStyle w:val="NoSpacing"/>
              <w:rPr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5</w:t>
            </w:r>
            <w:r w:rsidRPr="00D51FA0">
              <w:rPr>
                <w:sz w:val="20"/>
                <w:szCs w:val="20"/>
              </w:rPr>
              <w:t>F–2 Find equivalent fractions and understand that they have the same value and the same position in the linear number system</w:t>
            </w:r>
            <w:r w:rsidRPr="00D51FA0">
              <w:rPr>
                <w:sz w:val="20"/>
                <w:szCs w:val="20"/>
              </w:rPr>
              <w:t>.</w:t>
            </w:r>
          </w:p>
          <w:p w14:paraId="65BD05C0" w14:textId="68C0F276" w:rsidR="00C91B60" w:rsidRPr="00D51FA0" w:rsidRDefault="00C91B60" w:rsidP="00A31606">
            <w:pPr>
              <w:pStyle w:val="NoSpacing"/>
              <w:rPr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F–3 Recall decimal fraction equivalents for</w:t>
            </w:r>
            <w:r w:rsidRPr="00D51FA0">
              <w:rPr>
                <w:sz w:val="20"/>
                <w:szCs w:val="20"/>
              </w:rPr>
              <w:t xml:space="preserve"> ½ ¼ </w:t>
            </w:r>
            <w:r w:rsidR="006F05A8" w:rsidRPr="00D51FA0">
              <w:rPr>
                <w:sz w:val="20"/>
                <w:szCs w:val="20"/>
              </w:rPr>
              <w:t>1/5</w:t>
            </w:r>
            <w:r w:rsidRPr="00D51FA0">
              <w:rPr>
                <w:sz w:val="20"/>
                <w:szCs w:val="20"/>
              </w:rPr>
              <w:t xml:space="preserve"> and </w:t>
            </w:r>
            <w:r w:rsidR="006F05A8" w:rsidRPr="00D51FA0">
              <w:rPr>
                <w:sz w:val="20"/>
                <w:szCs w:val="20"/>
              </w:rPr>
              <w:t xml:space="preserve">1/10 </w:t>
            </w:r>
            <w:r w:rsidRPr="00D51FA0">
              <w:rPr>
                <w:sz w:val="20"/>
                <w:szCs w:val="20"/>
              </w:rPr>
              <w:t>and for multiples of these proper fractions</w:t>
            </w:r>
            <w:r w:rsidR="006F05A8" w:rsidRPr="00D51FA0">
              <w:rPr>
                <w:sz w:val="20"/>
                <w:szCs w:val="20"/>
              </w:rPr>
              <w:t>.</w:t>
            </w:r>
          </w:p>
          <w:p w14:paraId="6E58760C" w14:textId="3AE295F4" w:rsidR="00A31606" w:rsidRPr="00D51FA0" w:rsidRDefault="00A31606" w:rsidP="00A31606">
            <w:pPr>
              <w:spacing w:before="100" w:beforeAutospacing="1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4BEA0DB1" w14:textId="6D1C298C" w:rsidR="005B146E" w:rsidRPr="00D51FA0" w:rsidRDefault="00233E95" w:rsidP="00233E95">
            <w:pPr>
              <w:pStyle w:val="NoSpacing"/>
              <w:rPr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6</w:t>
            </w:r>
            <w:r w:rsidRPr="00D51FA0">
              <w:rPr>
                <w:sz w:val="20"/>
                <w:szCs w:val="20"/>
              </w:rPr>
              <w:t xml:space="preserve">F–1 Recognise when fractions can be </w:t>
            </w:r>
            <w:proofErr w:type="gramStart"/>
            <w:r w:rsidRPr="00D51FA0">
              <w:rPr>
                <w:sz w:val="20"/>
                <w:szCs w:val="20"/>
              </w:rPr>
              <w:t>simplified, and</w:t>
            </w:r>
            <w:proofErr w:type="gramEnd"/>
            <w:r w:rsidRPr="00D51FA0">
              <w:rPr>
                <w:sz w:val="20"/>
                <w:szCs w:val="20"/>
              </w:rPr>
              <w:t xml:space="preserve"> use common factors to simplify fractions</w:t>
            </w:r>
            <w:r w:rsidRPr="00D51FA0">
              <w:rPr>
                <w:sz w:val="20"/>
                <w:szCs w:val="20"/>
              </w:rPr>
              <w:t>.</w:t>
            </w:r>
          </w:p>
          <w:p w14:paraId="6C72CF6D" w14:textId="5EC07DBE" w:rsidR="00233E95" w:rsidRPr="00D51FA0" w:rsidRDefault="00233E95" w:rsidP="00233E95">
            <w:pPr>
              <w:pStyle w:val="NoSpacing"/>
              <w:rPr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6</w:t>
            </w:r>
            <w:r w:rsidRPr="00D51FA0">
              <w:rPr>
                <w:sz w:val="20"/>
                <w:szCs w:val="20"/>
              </w:rPr>
              <w:t>F–2 Express fractions in a common denomination and use this to compare fractions that are similar in value.</w:t>
            </w:r>
          </w:p>
          <w:p w14:paraId="19A4C42F" w14:textId="304405F9" w:rsidR="00233E95" w:rsidRPr="00D51FA0" w:rsidRDefault="00233E95" w:rsidP="00233E95">
            <w:pPr>
              <w:pStyle w:val="NoSpacing"/>
              <w:rPr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6</w:t>
            </w:r>
            <w:r w:rsidRPr="00D51FA0">
              <w:rPr>
                <w:sz w:val="20"/>
                <w:szCs w:val="20"/>
              </w:rPr>
              <w:t>F–3 Compare fractions with different denominators, including fractions greater than 1, using reasoning, and choose between reasoning and common denomination as a comparison strategy.</w:t>
            </w:r>
          </w:p>
          <w:p w14:paraId="52B58D7D" w14:textId="07CC83D4" w:rsidR="00233E95" w:rsidRPr="00D51FA0" w:rsidRDefault="00233E95" w:rsidP="00233E95">
            <w:pPr>
              <w:spacing w:before="100" w:beforeAutospacing="1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5B146E" w:rsidRPr="004F6C92" w14:paraId="14721FFD" w14:textId="1A01DA3E" w:rsidTr="007554BF">
        <w:tc>
          <w:tcPr>
            <w:tcW w:w="1838" w:type="dxa"/>
          </w:tcPr>
          <w:p w14:paraId="51EB1268" w14:textId="400AF23D" w:rsidR="005B146E" w:rsidRPr="002A7905" w:rsidRDefault="001604BF" w:rsidP="001604BF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Language Focus</w:t>
            </w:r>
          </w:p>
        </w:tc>
        <w:tc>
          <w:tcPr>
            <w:tcW w:w="1358" w:type="dxa"/>
          </w:tcPr>
          <w:p w14:paraId="422E0B01" w14:textId="77777777" w:rsidR="005B146E" w:rsidRPr="00937430" w:rsidRDefault="005B146E" w:rsidP="005B146E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D76820B" w14:textId="77777777" w:rsidR="005B146E" w:rsidRPr="00937430" w:rsidRDefault="005B146E" w:rsidP="005B146E">
            <w:pPr>
              <w:spacing w:before="100" w:beforeAutospacing="1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14:paraId="1269E482" w14:textId="77777777" w:rsidR="005B146E" w:rsidRPr="00937430" w:rsidRDefault="005B146E" w:rsidP="005B146E">
            <w:pPr>
              <w:spacing w:before="100" w:beforeAutospacing="1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044" w:type="dxa"/>
          </w:tcPr>
          <w:p w14:paraId="202B1CB5" w14:textId="77777777" w:rsidR="005B146E" w:rsidRPr="00937430" w:rsidRDefault="005B146E" w:rsidP="005B146E">
            <w:pPr>
              <w:numPr>
                <w:ilvl w:val="0"/>
                <w:numId w:val="14"/>
              </w:numPr>
              <w:spacing w:before="100" w:beforeAutospacing="1"/>
              <w:ind w:left="15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14:paraId="77100C6A" w14:textId="77777777" w:rsidR="005B146E" w:rsidRDefault="00A31606" w:rsidP="005B146E">
            <w:pPr>
              <w:numPr>
                <w:ilvl w:val="0"/>
                <w:numId w:val="14"/>
              </w:numPr>
              <w:spacing w:before="100" w:beforeAutospacing="1"/>
              <w:ind w:left="15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.</w:t>
            </w:r>
          </w:p>
          <w:p w14:paraId="541E2A3B" w14:textId="2C8EA300" w:rsidR="00A31606" w:rsidRPr="00937430" w:rsidRDefault="00A31606" w:rsidP="005B146E">
            <w:pPr>
              <w:numPr>
                <w:ilvl w:val="0"/>
                <w:numId w:val="14"/>
              </w:numPr>
              <w:spacing w:before="100" w:beforeAutospacing="1"/>
              <w:ind w:left="15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208" w:type="dxa"/>
          </w:tcPr>
          <w:p w14:paraId="2446EBA2" w14:textId="77777777" w:rsidR="005B146E" w:rsidRPr="00937430" w:rsidRDefault="005B146E" w:rsidP="005B146E">
            <w:pPr>
              <w:numPr>
                <w:ilvl w:val="0"/>
                <w:numId w:val="14"/>
              </w:numPr>
              <w:spacing w:before="100" w:beforeAutospacing="1"/>
              <w:ind w:left="15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4FCA634B" w14:textId="77777777" w:rsidR="005B146E" w:rsidRPr="00937430" w:rsidRDefault="005B146E" w:rsidP="005B146E">
            <w:pPr>
              <w:numPr>
                <w:ilvl w:val="0"/>
                <w:numId w:val="14"/>
              </w:numPr>
              <w:spacing w:before="100" w:beforeAutospacing="1"/>
              <w:ind w:left="15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5B146E" w:rsidRPr="004F6C92" w14:paraId="55ADF91F" w14:textId="22500BFD" w:rsidTr="007554BF">
        <w:tc>
          <w:tcPr>
            <w:tcW w:w="1838" w:type="dxa"/>
          </w:tcPr>
          <w:p w14:paraId="431798DE" w14:textId="77777777" w:rsidR="005B146E" w:rsidRPr="004F6C92" w:rsidRDefault="005B146E" w:rsidP="005B146E">
            <w:pPr>
              <w:rPr>
                <w:rFonts w:cstheme="minorHAnsi"/>
                <w:b/>
              </w:rPr>
            </w:pPr>
            <w:r w:rsidRPr="004F6C92">
              <w:rPr>
                <w:rFonts w:cstheme="minorHAnsi"/>
                <w:b/>
              </w:rPr>
              <w:t>Implementation</w:t>
            </w:r>
          </w:p>
          <w:p w14:paraId="0C816C97" w14:textId="2393C311" w:rsidR="005B146E" w:rsidRPr="002A7905" w:rsidRDefault="005B146E" w:rsidP="005B146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Geometry  (G)</w:t>
            </w:r>
          </w:p>
        </w:tc>
        <w:tc>
          <w:tcPr>
            <w:tcW w:w="1358" w:type="dxa"/>
          </w:tcPr>
          <w:p w14:paraId="3178E87A" w14:textId="77777777" w:rsidR="007554BF" w:rsidRDefault="007554BF" w:rsidP="007554BF">
            <w:pPr>
              <w:pStyle w:val="NoSpacing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Pre G</w:t>
            </w:r>
            <w:proofErr w:type="gramEnd"/>
            <w:r>
              <w:rPr>
                <w:sz w:val="20"/>
                <w:szCs w:val="20"/>
              </w:rPr>
              <w:t>-1</w:t>
            </w:r>
          </w:p>
          <w:p w14:paraId="488A6E38" w14:textId="77777777" w:rsidR="005B146E" w:rsidRDefault="007554BF" w:rsidP="007554BF">
            <w:pPr>
              <w:pStyle w:val="NoSpacing"/>
              <w:rPr>
                <w:sz w:val="20"/>
                <w:szCs w:val="20"/>
              </w:rPr>
            </w:pPr>
            <w:r w:rsidRPr="007554BF">
              <w:rPr>
                <w:sz w:val="20"/>
                <w:szCs w:val="20"/>
              </w:rPr>
              <w:t xml:space="preserve">See, </w:t>
            </w:r>
            <w:proofErr w:type="gramStart"/>
            <w:r w:rsidRPr="007554BF">
              <w:rPr>
                <w:sz w:val="20"/>
                <w:szCs w:val="20"/>
              </w:rPr>
              <w:t>explore</w:t>
            </w:r>
            <w:proofErr w:type="gramEnd"/>
            <w:r w:rsidRPr="007554BF">
              <w:rPr>
                <w:sz w:val="20"/>
                <w:szCs w:val="20"/>
              </w:rPr>
              <w:t xml:space="preserve"> and discuss models of common 2D and 3D shapes with varied dimensions and presented in different orientations (for example, triangles not always presented on their base).</w:t>
            </w:r>
          </w:p>
          <w:p w14:paraId="150CCD6D" w14:textId="77777777" w:rsidR="007554BF" w:rsidRDefault="007554BF" w:rsidP="007554BF">
            <w:pPr>
              <w:pStyle w:val="NoSpacing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Pre G</w:t>
            </w:r>
            <w:proofErr w:type="gramEnd"/>
            <w:r>
              <w:rPr>
                <w:sz w:val="20"/>
                <w:szCs w:val="20"/>
              </w:rPr>
              <w:t>-2</w:t>
            </w:r>
          </w:p>
          <w:p w14:paraId="34A7C46E" w14:textId="77777777" w:rsidR="007554BF" w:rsidRDefault="007554BF" w:rsidP="007554BF">
            <w:pPr>
              <w:pStyle w:val="NoSpacing"/>
              <w:rPr>
                <w:sz w:val="20"/>
                <w:szCs w:val="20"/>
              </w:rPr>
            </w:pPr>
            <w:r w:rsidRPr="007554BF">
              <w:rPr>
                <w:sz w:val="20"/>
                <w:szCs w:val="20"/>
              </w:rPr>
              <w:t xml:space="preserve">Select, </w:t>
            </w:r>
            <w:proofErr w:type="gramStart"/>
            <w:r w:rsidRPr="007554BF">
              <w:rPr>
                <w:sz w:val="20"/>
                <w:szCs w:val="20"/>
              </w:rPr>
              <w:t>rotate</w:t>
            </w:r>
            <w:proofErr w:type="gramEnd"/>
            <w:r w:rsidRPr="007554BF">
              <w:rPr>
                <w:sz w:val="20"/>
                <w:szCs w:val="20"/>
              </w:rPr>
              <w:t xml:space="preserve"> and manipulate shapes for a particular purpose, for example: </w:t>
            </w:r>
          </w:p>
          <w:p w14:paraId="3D6E5FB3" w14:textId="77777777" w:rsidR="007554BF" w:rsidRDefault="007554BF" w:rsidP="007554BF">
            <w:pPr>
              <w:pStyle w:val="NoSpacing"/>
              <w:rPr>
                <w:sz w:val="20"/>
                <w:szCs w:val="20"/>
              </w:rPr>
            </w:pPr>
            <w:r w:rsidRPr="007554BF">
              <w:rPr>
                <w:sz w:val="20"/>
                <w:szCs w:val="20"/>
              </w:rPr>
              <w:sym w:font="Symbol" w:char="F0B7"/>
            </w:r>
            <w:r w:rsidRPr="007554BF">
              <w:rPr>
                <w:sz w:val="20"/>
                <w:szCs w:val="20"/>
              </w:rPr>
              <w:t xml:space="preserve"> rotating a cylinder so it can be used to build a tower </w:t>
            </w:r>
          </w:p>
          <w:p w14:paraId="5C2F8697" w14:textId="23278036" w:rsidR="007554BF" w:rsidRPr="007554BF" w:rsidRDefault="007554BF" w:rsidP="007554BF">
            <w:pPr>
              <w:pStyle w:val="NoSpacing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554BF">
              <w:rPr>
                <w:sz w:val="20"/>
                <w:szCs w:val="20"/>
              </w:rPr>
              <w:sym w:font="Symbol" w:char="F0B7"/>
            </w:r>
            <w:r w:rsidRPr="007554BF">
              <w:rPr>
                <w:sz w:val="20"/>
                <w:szCs w:val="20"/>
              </w:rPr>
              <w:t xml:space="preserve"> rotating a puzzle piece to fit in its place</w:t>
            </w:r>
          </w:p>
        </w:tc>
        <w:tc>
          <w:tcPr>
            <w:tcW w:w="1418" w:type="dxa"/>
          </w:tcPr>
          <w:p w14:paraId="5B0071D3" w14:textId="77777777" w:rsidR="005B146E" w:rsidRPr="00D51FA0" w:rsidRDefault="005B146E" w:rsidP="005B146E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 w:rsidRPr="00D51FA0">
              <w:rPr>
                <w:rFonts w:cstheme="minorHAnsi"/>
                <w:sz w:val="20"/>
                <w:szCs w:val="20"/>
                <w:lang w:eastAsia="en-GB"/>
              </w:rPr>
              <w:t>1</w:t>
            </w:r>
            <w:r w:rsidRPr="00D51FA0">
              <w:rPr>
                <w:rFonts w:cstheme="minorHAnsi"/>
                <w:sz w:val="20"/>
                <w:szCs w:val="20"/>
                <w:lang w:eastAsia="en-GB"/>
              </w:rPr>
              <w:t xml:space="preserve">G–1 Recognise common 2D and 3D shapes presented in different orientations, and know that rectangles, triangles, </w:t>
            </w:r>
            <w:proofErr w:type="gramStart"/>
            <w:r w:rsidRPr="00D51FA0">
              <w:rPr>
                <w:rFonts w:cstheme="minorHAnsi"/>
                <w:sz w:val="20"/>
                <w:szCs w:val="20"/>
                <w:lang w:eastAsia="en-GB"/>
              </w:rPr>
              <w:t>cuboids</w:t>
            </w:r>
            <w:proofErr w:type="gramEnd"/>
            <w:r w:rsidRPr="00D51FA0">
              <w:rPr>
                <w:rFonts w:cstheme="minorHAnsi"/>
                <w:sz w:val="20"/>
                <w:szCs w:val="20"/>
                <w:lang w:eastAsia="en-GB"/>
              </w:rPr>
              <w:t xml:space="preserve"> and pyramids are not always similar to one another.</w:t>
            </w:r>
          </w:p>
          <w:p w14:paraId="069B7E1C" w14:textId="43BD94C0" w:rsidR="005B146E" w:rsidRPr="00D51FA0" w:rsidRDefault="005B146E" w:rsidP="005B146E">
            <w:pPr>
              <w:pStyle w:val="NoSpacing"/>
              <w:rPr>
                <w:rFonts w:cstheme="minorHAnsi"/>
                <w:sz w:val="20"/>
                <w:szCs w:val="20"/>
                <w:lang w:eastAsia="en-GB"/>
              </w:rPr>
            </w:pPr>
            <w:r w:rsidRPr="00D51FA0">
              <w:rPr>
                <w:rFonts w:cstheme="minorHAnsi"/>
                <w:sz w:val="20"/>
                <w:szCs w:val="20"/>
              </w:rPr>
              <w:t>1</w:t>
            </w:r>
            <w:r w:rsidRPr="00D51FA0">
              <w:rPr>
                <w:rFonts w:cstheme="minorHAnsi"/>
                <w:sz w:val="20"/>
                <w:szCs w:val="20"/>
              </w:rPr>
              <w:t xml:space="preserve">G–2 Compose 2D and 3D shapes from smaller shapes to match an example, including manipulating shapes to place them </w:t>
            </w:r>
            <w:proofErr w:type="gramStart"/>
            <w:r w:rsidRPr="00D51FA0">
              <w:rPr>
                <w:rFonts w:cstheme="minorHAnsi"/>
                <w:sz w:val="20"/>
                <w:szCs w:val="20"/>
              </w:rPr>
              <w:t>in particular orientations</w:t>
            </w:r>
            <w:proofErr w:type="gramEnd"/>
            <w:r w:rsidRPr="00D51FA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7B21A530" w14:textId="7D7009C1" w:rsidR="005B146E" w:rsidRPr="00D51FA0" w:rsidRDefault="00233E95" w:rsidP="00233E95">
            <w:pPr>
              <w:pStyle w:val="NoSpacing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51FA0">
              <w:rPr>
                <w:sz w:val="20"/>
                <w:szCs w:val="20"/>
              </w:rPr>
              <w:t>2</w:t>
            </w:r>
            <w:r w:rsidRPr="00D51FA0">
              <w:rPr>
                <w:sz w:val="20"/>
                <w:szCs w:val="20"/>
              </w:rPr>
              <w:t xml:space="preserve">G–1 Use precise language to describe the properties of 2D and 3D </w:t>
            </w:r>
            <w:proofErr w:type="gramStart"/>
            <w:r w:rsidRPr="00D51FA0">
              <w:rPr>
                <w:sz w:val="20"/>
                <w:szCs w:val="20"/>
              </w:rPr>
              <w:t>shapes, and</w:t>
            </w:r>
            <w:proofErr w:type="gramEnd"/>
            <w:r w:rsidRPr="00D51FA0">
              <w:rPr>
                <w:sz w:val="20"/>
                <w:szCs w:val="20"/>
              </w:rPr>
              <w:t xml:space="preserve"> compare shapes by reasoning about similarities and differences in properties.</w:t>
            </w:r>
          </w:p>
        </w:tc>
        <w:tc>
          <w:tcPr>
            <w:tcW w:w="2044" w:type="dxa"/>
          </w:tcPr>
          <w:p w14:paraId="640F4E71" w14:textId="77777777" w:rsidR="005B146E" w:rsidRPr="00D51FA0" w:rsidRDefault="00233E95" w:rsidP="00233E95">
            <w:pPr>
              <w:pStyle w:val="NoSpacing"/>
              <w:rPr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 xml:space="preserve">3G–1 Recognise right angles as a property of shape or a description of a </w:t>
            </w:r>
            <w:proofErr w:type="gramStart"/>
            <w:r w:rsidRPr="00D51FA0">
              <w:rPr>
                <w:sz w:val="20"/>
                <w:szCs w:val="20"/>
              </w:rPr>
              <w:t>turn, and</w:t>
            </w:r>
            <w:proofErr w:type="gramEnd"/>
            <w:r w:rsidRPr="00D51FA0">
              <w:rPr>
                <w:sz w:val="20"/>
                <w:szCs w:val="20"/>
              </w:rPr>
              <w:t xml:space="preserve"> identify right angles in 2D shapes presented in different orientations</w:t>
            </w:r>
            <w:r w:rsidRPr="00D51FA0">
              <w:rPr>
                <w:sz w:val="20"/>
                <w:szCs w:val="20"/>
              </w:rPr>
              <w:t>.</w:t>
            </w:r>
          </w:p>
          <w:p w14:paraId="602FB4E2" w14:textId="531F6F0B" w:rsidR="00233E95" w:rsidRPr="00D51FA0" w:rsidRDefault="00233E95" w:rsidP="00233E95">
            <w:pPr>
              <w:pStyle w:val="NoSpacing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51FA0">
              <w:rPr>
                <w:sz w:val="20"/>
                <w:szCs w:val="20"/>
              </w:rPr>
              <w:t>3</w:t>
            </w:r>
            <w:r w:rsidRPr="00D51FA0">
              <w:rPr>
                <w:sz w:val="20"/>
                <w:szCs w:val="20"/>
              </w:rPr>
              <w:t xml:space="preserve">G–2 Draw polygons by joining marked </w:t>
            </w:r>
            <w:proofErr w:type="gramStart"/>
            <w:r w:rsidRPr="00D51FA0">
              <w:rPr>
                <w:sz w:val="20"/>
                <w:szCs w:val="20"/>
              </w:rPr>
              <w:t>points, and</w:t>
            </w:r>
            <w:proofErr w:type="gramEnd"/>
            <w:r w:rsidRPr="00D51FA0">
              <w:rPr>
                <w:sz w:val="20"/>
                <w:szCs w:val="20"/>
              </w:rPr>
              <w:t xml:space="preserve"> identify parallel and perpendicular sides.</w:t>
            </w:r>
          </w:p>
        </w:tc>
        <w:tc>
          <w:tcPr>
            <w:tcW w:w="1701" w:type="dxa"/>
          </w:tcPr>
          <w:p w14:paraId="3EEB1020" w14:textId="5DD3ECC0" w:rsidR="005B146E" w:rsidRPr="00D51FA0" w:rsidRDefault="00D51FA0" w:rsidP="00D51FA0">
            <w:pPr>
              <w:pStyle w:val="NoSpacing"/>
              <w:rPr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4</w:t>
            </w:r>
            <w:r w:rsidRPr="00D51FA0">
              <w:rPr>
                <w:sz w:val="20"/>
                <w:szCs w:val="20"/>
              </w:rPr>
              <w:t>G–1 Draw polygons, specified by coordinates in the first quadrant, and translate within the first quadrant.</w:t>
            </w:r>
          </w:p>
          <w:p w14:paraId="262E5825" w14:textId="1A433DD2" w:rsidR="00D51FA0" w:rsidRPr="00D51FA0" w:rsidRDefault="00D51FA0" w:rsidP="00D51FA0">
            <w:pPr>
              <w:pStyle w:val="NoSpacing"/>
              <w:rPr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4</w:t>
            </w:r>
            <w:r w:rsidRPr="00D51FA0">
              <w:rPr>
                <w:sz w:val="20"/>
                <w:szCs w:val="20"/>
              </w:rPr>
              <w:t xml:space="preserve">G–2 Identify regular polygons, including equilateral triangles and squares, as those in which the side-lengths are </w:t>
            </w:r>
            <w:proofErr w:type="gramStart"/>
            <w:r w:rsidRPr="00D51FA0">
              <w:rPr>
                <w:sz w:val="20"/>
                <w:szCs w:val="20"/>
              </w:rPr>
              <w:t>equal</w:t>
            </w:r>
            <w:proofErr w:type="gramEnd"/>
            <w:r w:rsidRPr="00D51FA0">
              <w:rPr>
                <w:sz w:val="20"/>
                <w:szCs w:val="20"/>
              </w:rPr>
              <w:t xml:space="preserve"> and the angles are equal. Find the perimeter of regular and irregular polygons.</w:t>
            </w:r>
          </w:p>
          <w:p w14:paraId="20A76EC4" w14:textId="2F14E1BF" w:rsidR="00D51FA0" w:rsidRPr="00D51FA0" w:rsidRDefault="00D51FA0" w:rsidP="00D51FA0">
            <w:pPr>
              <w:pStyle w:val="NoSpacing"/>
              <w:rPr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4G–3 Identify line symmetry in 2D shapes presented in different orientations. Reflect shapes in a line of symmetry and complete a symmetric figure or pattern with respect to a specified line of symmetry.</w:t>
            </w:r>
          </w:p>
          <w:p w14:paraId="73E8B748" w14:textId="0ADC4260" w:rsidR="00D51FA0" w:rsidRPr="00D51FA0" w:rsidRDefault="00D51FA0" w:rsidP="00D51FA0">
            <w:pPr>
              <w:spacing w:before="100" w:beforeAutospacing="1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208" w:type="dxa"/>
          </w:tcPr>
          <w:p w14:paraId="4CBAD4AD" w14:textId="77777777" w:rsidR="005B146E" w:rsidRPr="00D51FA0" w:rsidRDefault="00F54B81" w:rsidP="00D51FA0">
            <w:pPr>
              <w:pStyle w:val="NoSpacing"/>
              <w:rPr>
                <w:sz w:val="20"/>
                <w:szCs w:val="20"/>
              </w:rPr>
            </w:pPr>
            <w:r w:rsidRPr="00D51FA0">
              <w:rPr>
                <w:sz w:val="20"/>
                <w:szCs w:val="20"/>
              </w:rPr>
              <w:t>5</w:t>
            </w:r>
            <w:r w:rsidRPr="00D51FA0">
              <w:rPr>
                <w:sz w:val="20"/>
                <w:szCs w:val="20"/>
              </w:rPr>
              <w:t xml:space="preserve">G–1 Compare angles, </w:t>
            </w:r>
            <w:proofErr w:type="gramStart"/>
            <w:r w:rsidRPr="00D51FA0">
              <w:rPr>
                <w:sz w:val="20"/>
                <w:szCs w:val="20"/>
              </w:rPr>
              <w:t>estimate</w:t>
            </w:r>
            <w:proofErr w:type="gramEnd"/>
            <w:r w:rsidRPr="00D51FA0">
              <w:rPr>
                <w:sz w:val="20"/>
                <w:szCs w:val="20"/>
              </w:rPr>
              <w:t xml:space="preserve"> and measure angles in degrees (°) and draw angles of a given size.</w:t>
            </w:r>
          </w:p>
          <w:p w14:paraId="41CC4535" w14:textId="744F5963" w:rsidR="00D51FA0" w:rsidRPr="00D51FA0" w:rsidRDefault="00D51FA0" w:rsidP="00D51FA0">
            <w:pPr>
              <w:pStyle w:val="NoSpacing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51FA0">
              <w:rPr>
                <w:sz w:val="20"/>
                <w:szCs w:val="20"/>
              </w:rPr>
              <w:t>5</w:t>
            </w:r>
            <w:r w:rsidRPr="00D51FA0">
              <w:rPr>
                <w:sz w:val="20"/>
                <w:szCs w:val="20"/>
              </w:rPr>
              <w:t>G–2 Compare areas and calculate the area of rectangles (including squares) using standard units.</w:t>
            </w:r>
          </w:p>
        </w:tc>
        <w:tc>
          <w:tcPr>
            <w:tcW w:w="2268" w:type="dxa"/>
          </w:tcPr>
          <w:p w14:paraId="5487EC6D" w14:textId="403C3803" w:rsidR="005B146E" w:rsidRPr="00D51FA0" w:rsidRDefault="00D51FA0" w:rsidP="00D51FA0">
            <w:pPr>
              <w:spacing w:before="100" w:beforeAutospacing="1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51FA0">
              <w:rPr>
                <w:sz w:val="20"/>
                <w:szCs w:val="20"/>
              </w:rPr>
              <w:t>6</w:t>
            </w:r>
            <w:r w:rsidRPr="00D51FA0">
              <w:rPr>
                <w:sz w:val="20"/>
                <w:szCs w:val="20"/>
              </w:rPr>
              <w:t xml:space="preserve">G–1 Draw, compose, and decompose shapes according to given properties, including dimensions, </w:t>
            </w:r>
            <w:proofErr w:type="gramStart"/>
            <w:r w:rsidRPr="00D51FA0">
              <w:rPr>
                <w:sz w:val="20"/>
                <w:szCs w:val="20"/>
              </w:rPr>
              <w:t>angles</w:t>
            </w:r>
            <w:proofErr w:type="gramEnd"/>
            <w:r w:rsidRPr="00D51FA0">
              <w:rPr>
                <w:sz w:val="20"/>
                <w:szCs w:val="20"/>
              </w:rPr>
              <w:t xml:space="preserve"> and area, and solve related problems.</w:t>
            </w:r>
          </w:p>
        </w:tc>
      </w:tr>
      <w:tr w:rsidR="005B146E" w:rsidRPr="004F6C92" w14:paraId="66C5E7D8" w14:textId="7D85FA32" w:rsidTr="007554BF">
        <w:tc>
          <w:tcPr>
            <w:tcW w:w="1838" w:type="dxa"/>
          </w:tcPr>
          <w:p w14:paraId="7B5060AD" w14:textId="0D01316E" w:rsidR="005B146E" w:rsidRPr="004F6C92" w:rsidRDefault="001604BF" w:rsidP="005B146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Language Focus</w:t>
            </w:r>
          </w:p>
          <w:p w14:paraId="5F8AF9E6" w14:textId="77777777" w:rsidR="005B146E" w:rsidRPr="002A7905" w:rsidRDefault="005B146E" w:rsidP="005B146E">
            <w:pPr>
              <w:rPr>
                <w:rFonts w:cstheme="minorHAnsi"/>
                <w:bCs/>
              </w:rPr>
            </w:pPr>
          </w:p>
        </w:tc>
        <w:tc>
          <w:tcPr>
            <w:tcW w:w="1358" w:type="dxa"/>
          </w:tcPr>
          <w:p w14:paraId="71A1E363" w14:textId="77777777" w:rsidR="005B146E" w:rsidRPr="00937430" w:rsidRDefault="005B146E" w:rsidP="005B146E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1DE3FE7" w14:textId="77777777" w:rsidR="005B146E" w:rsidRPr="00937430" w:rsidRDefault="005B146E" w:rsidP="005B146E">
            <w:pPr>
              <w:spacing w:before="100" w:beforeAutospacing="1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14:paraId="108998EB" w14:textId="77777777" w:rsidR="005B146E" w:rsidRPr="00937430" w:rsidRDefault="005B146E" w:rsidP="005B146E">
            <w:pPr>
              <w:spacing w:before="100" w:beforeAutospacing="1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044" w:type="dxa"/>
          </w:tcPr>
          <w:p w14:paraId="745B1655" w14:textId="77777777" w:rsidR="005B146E" w:rsidRPr="00937430" w:rsidRDefault="005B146E" w:rsidP="005B146E">
            <w:pPr>
              <w:numPr>
                <w:ilvl w:val="0"/>
                <w:numId w:val="14"/>
              </w:numPr>
              <w:spacing w:before="100" w:beforeAutospacing="1"/>
              <w:ind w:left="15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14:paraId="17DC3FE3" w14:textId="213B2083" w:rsidR="005B146E" w:rsidRPr="00937430" w:rsidRDefault="005B146E" w:rsidP="005B146E">
            <w:pPr>
              <w:numPr>
                <w:ilvl w:val="0"/>
                <w:numId w:val="14"/>
              </w:numPr>
              <w:spacing w:before="100" w:beforeAutospacing="1"/>
              <w:ind w:left="15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208" w:type="dxa"/>
          </w:tcPr>
          <w:p w14:paraId="778B9458" w14:textId="77777777" w:rsidR="005B146E" w:rsidRPr="00937430" w:rsidRDefault="005B146E" w:rsidP="005B146E">
            <w:pPr>
              <w:numPr>
                <w:ilvl w:val="0"/>
                <w:numId w:val="14"/>
              </w:numPr>
              <w:spacing w:before="100" w:beforeAutospacing="1"/>
              <w:ind w:left="15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40C6EC9B" w14:textId="77777777" w:rsidR="005B146E" w:rsidRPr="00937430" w:rsidRDefault="005B146E" w:rsidP="005B146E">
            <w:pPr>
              <w:numPr>
                <w:ilvl w:val="0"/>
                <w:numId w:val="14"/>
              </w:numPr>
              <w:spacing w:before="100" w:beforeAutospacing="1"/>
              <w:ind w:left="15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bookmarkEnd w:id="1"/>
      <w:tr w:rsidR="001E0AB2" w:rsidRPr="004F6C92" w14:paraId="5B7B9094" w14:textId="2A6FBADF" w:rsidTr="001559F7">
        <w:trPr>
          <w:trHeight w:val="516"/>
        </w:trPr>
        <w:tc>
          <w:tcPr>
            <w:tcW w:w="1838" w:type="dxa"/>
          </w:tcPr>
          <w:p w14:paraId="0590C468" w14:textId="77777777" w:rsidR="001E0AB2" w:rsidRPr="004F6C92" w:rsidRDefault="001E0AB2" w:rsidP="005B146E">
            <w:pPr>
              <w:rPr>
                <w:rFonts w:cstheme="minorHAnsi"/>
                <w:b/>
              </w:rPr>
            </w:pPr>
            <w:r w:rsidRPr="004F6C92">
              <w:rPr>
                <w:rFonts w:cstheme="minorHAnsi"/>
                <w:b/>
              </w:rPr>
              <w:t>Impact</w:t>
            </w:r>
          </w:p>
        </w:tc>
        <w:tc>
          <w:tcPr>
            <w:tcW w:w="12698" w:type="dxa"/>
            <w:gridSpan w:val="7"/>
          </w:tcPr>
          <w:p w14:paraId="33A302C2" w14:textId="18306BA7" w:rsidR="001E0AB2" w:rsidRPr="00937430" w:rsidRDefault="001E0AB2" w:rsidP="005B14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 See</w:t>
            </w:r>
            <w:r w:rsidRPr="004F6C92">
              <w:rPr>
                <w:rFonts w:cstheme="minorHAnsi"/>
              </w:rPr>
              <w:t xml:space="preserve"> ‘The Carey Federation </w:t>
            </w:r>
            <w:r>
              <w:rPr>
                <w:rFonts w:cstheme="minorHAnsi"/>
              </w:rPr>
              <w:t>–</w:t>
            </w:r>
            <w:r w:rsidRPr="004F6C9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Mathematics </w:t>
            </w:r>
            <w:r w:rsidRPr="004F6C92">
              <w:rPr>
                <w:rFonts w:cstheme="minorHAnsi"/>
              </w:rPr>
              <w:t>Curriculum Progression of Skills Assessment Grid</w:t>
            </w:r>
            <w:r>
              <w:rPr>
                <w:rFonts w:cstheme="minorHAnsi"/>
              </w:rPr>
              <w:t>s for Years R-6</w:t>
            </w:r>
            <w:r w:rsidRPr="004F6C92">
              <w:rPr>
                <w:rFonts w:cstheme="minorHAnsi"/>
              </w:rPr>
              <w:t>’</w:t>
            </w:r>
            <w:r>
              <w:rPr>
                <w:rFonts w:cstheme="minorHAnsi"/>
              </w:rPr>
              <w:t>)</w:t>
            </w:r>
          </w:p>
        </w:tc>
      </w:tr>
    </w:tbl>
    <w:p w14:paraId="1299C43A" w14:textId="77777777" w:rsidR="009668BF" w:rsidRPr="004F6C92" w:rsidRDefault="009668BF">
      <w:pPr>
        <w:rPr>
          <w:rFonts w:cstheme="minorHAnsi"/>
        </w:rPr>
      </w:pPr>
    </w:p>
    <w:sectPr w:rsidR="009668BF" w:rsidRPr="004F6C92" w:rsidSect="00D54FC5">
      <w:pgSz w:w="16838" w:h="11906" w:orient="landscape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2582"/>
    <w:multiLevelType w:val="multilevel"/>
    <w:tmpl w:val="3E2817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D60B9"/>
    <w:multiLevelType w:val="multilevel"/>
    <w:tmpl w:val="AABA0F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C0591"/>
    <w:multiLevelType w:val="multilevel"/>
    <w:tmpl w:val="58FAE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31418"/>
    <w:multiLevelType w:val="multilevel"/>
    <w:tmpl w:val="2E060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D2213"/>
    <w:multiLevelType w:val="multilevel"/>
    <w:tmpl w:val="B66E50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FB3E4C"/>
    <w:multiLevelType w:val="multilevel"/>
    <w:tmpl w:val="334082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E3054E"/>
    <w:multiLevelType w:val="hybridMultilevel"/>
    <w:tmpl w:val="46B061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22651"/>
    <w:multiLevelType w:val="multilevel"/>
    <w:tmpl w:val="5E0A1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411904"/>
    <w:multiLevelType w:val="multilevel"/>
    <w:tmpl w:val="AB6E1A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5E59AB"/>
    <w:multiLevelType w:val="multilevel"/>
    <w:tmpl w:val="93907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3F770D"/>
    <w:multiLevelType w:val="multilevel"/>
    <w:tmpl w:val="F14488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0F76D3"/>
    <w:multiLevelType w:val="multilevel"/>
    <w:tmpl w:val="87CC42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D46D81"/>
    <w:multiLevelType w:val="multilevel"/>
    <w:tmpl w:val="96BEA6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D6BF6"/>
    <w:multiLevelType w:val="multilevel"/>
    <w:tmpl w:val="078283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8D0C42"/>
    <w:multiLevelType w:val="multilevel"/>
    <w:tmpl w:val="06486F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B038F2"/>
    <w:multiLevelType w:val="multilevel"/>
    <w:tmpl w:val="B81E05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565530"/>
    <w:multiLevelType w:val="multilevel"/>
    <w:tmpl w:val="B804EE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7"/>
  </w:num>
  <w:num w:numId="7">
    <w:abstractNumId w:val="4"/>
  </w:num>
  <w:num w:numId="8">
    <w:abstractNumId w:val="14"/>
  </w:num>
  <w:num w:numId="9">
    <w:abstractNumId w:val="15"/>
  </w:num>
  <w:num w:numId="10">
    <w:abstractNumId w:val="0"/>
  </w:num>
  <w:num w:numId="11">
    <w:abstractNumId w:val="2"/>
  </w:num>
  <w:num w:numId="12">
    <w:abstractNumId w:val="1"/>
  </w:num>
  <w:num w:numId="13">
    <w:abstractNumId w:val="13"/>
  </w:num>
  <w:num w:numId="14">
    <w:abstractNumId w:val="12"/>
  </w:num>
  <w:num w:numId="15">
    <w:abstractNumId w:val="9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F0"/>
    <w:rsid w:val="000060D8"/>
    <w:rsid w:val="0005581E"/>
    <w:rsid w:val="000B0366"/>
    <w:rsid w:val="000F3FDB"/>
    <w:rsid w:val="00122EB6"/>
    <w:rsid w:val="00126E7B"/>
    <w:rsid w:val="001604BF"/>
    <w:rsid w:val="001B5279"/>
    <w:rsid w:val="001E0AB2"/>
    <w:rsid w:val="00233E95"/>
    <w:rsid w:val="002A7905"/>
    <w:rsid w:val="002D7415"/>
    <w:rsid w:val="002E4FA4"/>
    <w:rsid w:val="00330A2E"/>
    <w:rsid w:val="00345DCE"/>
    <w:rsid w:val="00370D5E"/>
    <w:rsid w:val="00374F5B"/>
    <w:rsid w:val="003B5D93"/>
    <w:rsid w:val="003F1424"/>
    <w:rsid w:val="00405474"/>
    <w:rsid w:val="004C4A28"/>
    <w:rsid w:val="004C683E"/>
    <w:rsid w:val="004E65A2"/>
    <w:rsid w:val="004F6C92"/>
    <w:rsid w:val="00524405"/>
    <w:rsid w:val="0053336C"/>
    <w:rsid w:val="005438FC"/>
    <w:rsid w:val="005B146E"/>
    <w:rsid w:val="005B2E31"/>
    <w:rsid w:val="005C4277"/>
    <w:rsid w:val="00616452"/>
    <w:rsid w:val="006E4F51"/>
    <w:rsid w:val="006E70F4"/>
    <w:rsid w:val="006F05A8"/>
    <w:rsid w:val="00705685"/>
    <w:rsid w:val="00711465"/>
    <w:rsid w:val="00751C23"/>
    <w:rsid w:val="007554BF"/>
    <w:rsid w:val="00822B8E"/>
    <w:rsid w:val="00873D60"/>
    <w:rsid w:val="0087694D"/>
    <w:rsid w:val="008B3E65"/>
    <w:rsid w:val="008F16E7"/>
    <w:rsid w:val="009326C2"/>
    <w:rsid w:val="00934A00"/>
    <w:rsid w:val="00937430"/>
    <w:rsid w:val="009668BF"/>
    <w:rsid w:val="009B5DDF"/>
    <w:rsid w:val="009D07F7"/>
    <w:rsid w:val="009E3EF0"/>
    <w:rsid w:val="009F5B5C"/>
    <w:rsid w:val="00A31606"/>
    <w:rsid w:val="00AA37B2"/>
    <w:rsid w:val="00AB2A0A"/>
    <w:rsid w:val="00AE2643"/>
    <w:rsid w:val="00B17E8A"/>
    <w:rsid w:val="00B93AB2"/>
    <w:rsid w:val="00B977F3"/>
    <w:rsid w:val="00BD54D0"/>
    <w:rsid w:val="00C74E88"/>
    <w:rsid w:val="00C91B60"/>
    <w:rsid w:val="00CA70DB"/>
    <w:rsid w:val="00CC6233"/>
    <w:rsid w:val="00CD710F"/>
    <w:rsid w:val="00CE2BA0"/>
    <w:rsid w:val="00D51FA0"/>
    <w:rsid w:val="00D54FC5"/>
    <w:rsid w:val="00DF6ED5"/>
    <w:rsid w:val="00E03FED"/>
    <w:rsid w:val="00E153CD"/>
    <w:rsid w:val="00E5041C"/>
    <w:rsid w:val="00E600BD"/>
    <w:rsid w:val="00ED1415"/>
    <w:rsid w:val="00EE32AD"/>
    <w:rsid w:val="00EF729F"/>
    <w:rsid w:val="00F433E5"/>
    <w:rsid w:val="00F54B81"/>
    <w:rsid w:val="00F77A43"/>
    <w:rsid w:val="00FE39A4"/>
    <w:rsid w:val="00FF039C"/>
    <w:rsid w:val="3462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74A35"/>
  <w15:docId w15:val="{56C343C1-2EE3-43E7-B8D0-A6B8EB10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BA0"/>
    <w:pPr>
      <w:ind w:left="720"/>
      <w:contextualSpacing/>
    </w:pPr>
  </w:style>
  <w:style w:type="paragraph" w:styleId="NoSpacing">
    <w:name w:val="No Spacing"/>
    <w:uiPriority w:val="1"/>
    <w:qFormat/>
    <w:rsid w:val="00937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Halwill Primary School</Company>
  <LinksUpToDate>false</LinksUpToDate>
  <CharactersWithSpaces>15185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Michelle Batstone</cp:lastModifiedBy>
  <cp:revision>38</cp:revision>
  <cp:lastPrinted>2021-07-20T13:14:00Z</cp:lastPrinted>
  <dcterms:created xsi:type="dcterms:W3CDTF">2021-07-21T09:24:00Z</dcterms:created>
  <dcterms:modified xsi:type="dcterms:W3CDTF">2021-07-21T15:19:00Z</dcterms:modified>
</cp:coreProperties>
</file>